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22BD25" w14:textId="0FB58947" w:rsidR="004507A6" w:rsidRDefault="00F6710F" w:rsidP="004507A6">
      <w:pPr>
        <w:pStyle w:val="Nadpis1"/>
        <w:jc w:val="center"/>
      </w:pPr>
      <w:r>
        <w:t>Bližší specifikace díla</w:t>
      </w:r>
    </w:p>
    <w:p w14:paraId="23BF1673" w14:textId="77777777" w:rsidR="004507A6" w:rsidRDefault="004507A6" w:rsidP="004507A6">
      <w:pPr>
        <w:jc w:val="center"/>
      </w:pPr>
    </w:p>
    <w:p w14:paraId="6A20081A" w14:textId="77777777" w:rsidR="00397A0C" w:rsidRDefault="00397A0C" w:rsidP="004A71E7">
      <w:pPr>
        <w:pStyle w:val="Nadpis2"/>
        <w:jc w:val="center"/>
        <w:rPr>
          <w:sz w:val="40"/>
          <w:szCs w:val="40"/>
        </w:rPr>
      </w:pPr>
    </w:p>
    <w:p w14:paraId="0AAAF237" w14:textId="02BFA79F" w:rsidR="004A71E7" w:rsidRDefault="004E4E20" w:rsidP="004E4E20">
      <w:pPr>
        <w:jc w:val="center"/>
      </w:pPr>
      <w:r w:rsidRPr="004E4E20">
        <w:rPr>
          <w:rFonts w:asciiTheme="majorHAnsi" w:eastAsiaTheme="majorEastAsia" w:hAnsiTheme="majorHAnsi" w:cstheme="majorBidi"/>
          <w:b/>
          <w:color w:val="00A1E0" w:themeColor="accent3"/>
          <w:sz w:val="40"/>
          <w:szCs w:val="40"/>
        </w:rPr>
        <w:t>Repase průrazek pro SEE u OŘ OVA 2025-2027</w:t>
      </w:r>
    </w:p>
    <w:p w14:paraId="032668A2" w14:textId="77777777" w:rsidR="004A71E7" w:rsidRPr="004A71E7" w:rsidRDefault="004A71E7" w:rsidP="004A71E7">
      <w:pPr>
        <w:jc w:val="center"/>
        <w:rPr>
          <w:rFonts w:ascii="Verdana" w:hAnsi="Verdana"/>
          <w:b/>
          <w:bCs/>
          <w:color w:val="00B0F0"/>
          <w:sz w:val="20"/>
          <w:szCs w:val="20"/>
          <w:u w:val="single"/>
        </w:rPr>
      </w:pPr>
      <w:r w:rsidRPr="004A71E7">
        <w:rPr>
          <w:rFonts w:ascii="Verdana" w:hAnsi="Verdana"/>
          <w:b/>
          <w:bCs/>
          <w:color w:val="00B0F0"/>
          <w:sz w:val="20"/>
          <w:szCs w:val="20"/>
          <w:u w:val="single"/>
        </w:rPr>
        <w:t>Typ HGS 150RW (250V a 500V)</w:t>
      </w:r>
    </w:p>
    <w:p w14:paraId="33B4C2E5" w14:textId="77777777" w:rsidR="004A71E7" w:rsidRPr="004A71E7" w:rsidRDefault="004A71E7" w:rsidP="004A71E7"/>
    <w:p w14:paraId="7815017C" w14:textId="77777777" w:rsidR="004507A6" w:rsidRDefault="004507A6" w:rsidP="004507A6"/>
    <w:p w14:paraId="1213EB3B" w14:textId="77777777" w:rsidR="004507A6" w:rsidRDefault="004507A6" w:rsidP="004507A6"/>
    <w:p w14:paraId="2133ED95" w14:textId="77777777" w:rsidR="004507A6" w:rsidRDefault="004507A6" w:rsidP="004507A6"/>
    <w:p w14:paraId="602E3AFA" w14:textId="77777777" w:rsidR="004507A6" w:rsidRDefault="004507A6" w:rsidP="004507A6"/>
    <w:p w14:paraId="68997E75" w14:textId="77777777" w:rsidR="004507A6" w:rsidRDefault="004507A6" w:rsidP="004507A6"/>
    <w:p w14:paraId="63952F16" w14:textId="77777777" w:rsidR="004507A6" w:rsidRDefault="004507A6" w:rsidP="004507A6"/>
    <w:p w14:paraId="6D3C3E00" w14:textId="77777777" w:rsidR="004507A6" w:rsidRDefault="004507A6" w:rsidP="004507A6"/>
    <w:p w14:paraId="3B236C21" w14:textId="77777777" w:rsidR="004507A6" w:rsidRDefault="004507A6" w:rsidP="004507A6"/>
    <w:p w14:paraId="3BE43D9F" w14:textId="77777777" w:rsidR="000E4A09" w:rsidRDefault="000E4A09" w:rsidP="004507A6"/>
    <w:p w14:paraId="3E1CDDF2" w14:textId="77777777" w:rsidR="000E4A09" w:rsidRDefault="000E4A09" w:rsidP="004507A6"/>
    <w:p w14:paraId="747B56F1" w14:textId="77777777" w:rsidR="000E4A09" w:rsidRDefault="000E4A09" w:rsidP="004507A6"/>
    <w:p w14:paraId="3AC34713" w14:textId="77777777" w:rsidR="000E4A09" w:rsidRDefault="000E4A09" w:rsidP="004507A6"/>
    <w:p w14:paraId="708A708D" w14:textId="77777777" w:rsidR="004507A6" w:rsidRDefault="004507A6" w:rsidP="004507A6">
      <w:r>
        <w:t xml:space="preserve">Vypracoval: </w:t>
      </w:r>
      <w:r>
        <w:tab/>
      </w:r>
      <w:r>
        <w:tab/>
      </w:r>
      <w:r>
        <w:tab/>
      </w:r>
      <w:r>
        <w:tab/>
        <w:t>Kontroloval:</w:t>
      </w:r>
      <w:r>
        <w:tab/>
      </w:r>
      <w:r>
        <w:tab/>
      </w:r>
      <w:r>
        <w:tab/>
        <w:t>Schválil:</w:t>
      </w:r>
    </w:p>
    <w:p w14:paraId="0A0CCA76" w14:textId="30F3D431" w:rsidR="004507A6" w:rsidRDefault="004A71E7" w:rsidP="004507A6">
      <w:r>
        <w:t>Tomáš Bárta</w:t>
      </w:r>
      <w:r w:rsidR="004507A6">
        <w:tab/>
      </w:r>
      <w:r w:rsidR="004507A6">
        <w:tab/>
      </w:r>
      <w:r w:rsidR="00954259">
        <w:tab/>
      </w:r>
      <w:r>
        <w:t xml:space="preserve">      </w:t>
      </w:r>
      <w:r w:rsidR="00954259">
        <w:t xml:space="preserve">Ing. </w:t>
      </w:r>
      <w:r>
        <w:t>Lumír Bajgar</w:t>
      </w:r>
      <w:r w:rsidR="004507A6">
        <w:tab/>
      </w:r>
      <w:r>
        <w:t xml:space="preserve">                </w:t>
      </w:r>
      <w:r w:rsidR="004507A6">
        <w:t>Ing. Jaromír HUBAČ</w:t>
      </w:r>
    </w:p>
    <w:p w14:paraId="27BFC073" w14:textId="77777777" w:rsidR="004507A6" w:rsidRDefault="004507A6" w:rsidP="004507A6"/>
    <w:p w14:paraId="0246BC5F" w14:textId="77777777" w:rsidR="000E4A09" w:rsidRDefault="000E4A09" w:rsidP="004507A6"/>
    <w:p w14:paraId="6EB52BA7" w14:textId="35CE4208" w:rsidR="004507A6" w:rsidRDefault="004507A6" w:rsidP="004507A6">
      <w:r>
        <w:t xml:space="preserve">Dne </w:t>
      </w:r>
      <w:r w:rsidR="004A71E7">
        <w:t>0</w:t>
      </w:r>
      <w:r w:rsidR="00AA1729">
        <w:t>8</w:t>
      </w:r>
      <w:r>
        <w:t xml:space="preserve">. </w:t>
      </w:r>
      <w:r w:rsidR="004A71E7">
        <w:t>10</w:t>
      </w:r>
      <w:r>
        <w:t>. 202</w:t>
      </w:r>
      <w:r w:rsidR="003F56F5">
        <w:t>5</w:t>
      </w:r>
    </w:p>
    <w:p w14:paraId="375886C7" w14:textId="77777777" w:rsidR="004507A6" w:rsidRDefault="004507A6" w:rsidP="004507A6">
      <w:r>
        <w:br w:type="page"/>
      </w:r>
    </w:p>
    <w:p w14:paraId="1F5A29B7" w14:textId="77777777" w:rsidR="004507A6" w:rsidRDefault="004507A6" w:rsidP="004507A6">
      <w:pPr>
        <w:pStyle w:val="Nadpis2"/>
      </w:pPr>
      <w:bookmarkStart w:id="0" w:name="_Toc205991247"/>
      <w:r>
        <w:lastRenderedPageBreak/>
        <w:t>OBECNÁ ČÁST</w:t>
      </w:r>
      <w:bookmarkEnd w:id="0"/>
    </w:p>
    <w:p w14:paraId="106C2003" w14:textId="77777777" w:rsidR="00FA7957" w:rsidRDefault="00FA7957" w:rsidP="00FA7957">
      <w:pPr>
        <w:ind w:firstLine="360"/>
        <w:rPr>
          <w:rFonts w:ascii="Verdana" w:hAnsi="Verdana"/>
          <w:sz w:val="20"/>
          <w:szCs w:val="20"/>
        </w:rPr>
      </w:pPr>
    </w:p>
    <w:p w14:paraId="19E5AEF3" w14:textId="46600533" w:rsidR="00FA7957" w:rsidRPr="005E22A0" w:rsidRDefault="00FA7957" w:rsidP="00FA7957">
      <w:pPr>
        <w:ind w:firstLine="360"/>
        <w:rPr>
          <w:rFonts w:ascii="Verdana" w:hAnsi="Verdana"/>
          <w:sz w:val="20"/>
          <w:szCs w:val="20"/>
        </w:rPr>
      </w:pPr>
      <w:r w:rsidRPr="005E22A0">
        <w:rPr>
          <w:rFonts w:ascii="Verdana" w:hAnsi="Verdana"/>
          <w:sz w:val="20"/>
          <w:szCs w:val="20"/>
        </w:rPr>
        <w:t xml:space="preserve">V rámci pravidelné údržby je prováděna </w:t>
      </w:r>
      <w:r w:rsidR="00495F3E">
        <w:rPr>
          <w:rFonts w:ascii="Verdana" w:hAnsi="Verdana"/>
          <w:sz w:val="20"/>
          <w:szCs w:val="20"/>
        </w:rPr>
        <w:t xml:space="preserve">zadavatelem </w:t>
      </w:r>
      <w:r w:rsidRPr="005E22A0">
        <w:rPr>
          <w:rFonts w:ascii="Verdana" w:hAnsi="Verdana"/>
          <w:sz w:val="20"/>
          <w:szCs w:val="20"/>
        </w:rPr>
        <w:t>i kontrola průrazek. Ta je prováděna v souladu s předpisem SŽ E500 a návodem výrobce.</w:t>
      </w:r>
    </w:p>
    <w:p w14:paraId="1B7551A8" w14:textId="77777777" w:rsidR="00FA7957" w:rsidRPr="005E22A0" w:rsidRDefault="00FA7957" w:rsidP="00FA7957">
      <w:pPr>
        <w:pStyle w:val="Odstavecseseznamem"/>
        <w:numPr>
          <w:ilvl w:val="0"/>
          <w:numId w:val="24"/>
        </w:numPr>
        <w:spacing w:after="0" w:line="240" w:lineRule="auto"/>
        <w:rPr>
          <w:rFonts w:ascii="Verdana" w:hAnsi="Verdana" w:cs="Arial"/>
          <w:color w:val="000000"/>
          <w:sz w:val="20"/>
          <w:szCs w:val="20"/>
          <w:u w:val="single"/>
        </w:rPr>
      </w:pPr>
      <w:r w:rsidRPr="005E22A0">
        <w:rPr>
          <w:rFonts w:ascii="Verdana" w:hAnsi="Verdana" w:cs="Arial"/>
          <w:color w:val="000000"/>
          <w:sz w:val="20"/>
          <w:szCs w:val="20"/>
          <w:u w:val="single"/>
        </w:rPr>
        <w:t>Postup měření průrazek HGS:</w:t>
      </w:r>
    </w:p>
    <w:p w14:paraId="25F42645" w14:textId="226CDFE3" w:rsidR="00A4615C" w:rsidRPr="005E22A0" w:rsidRDefault="00FA7957" w:rsidP="00A4615C">
      <w:pPr>
        <w:spacing w:after="120" w:line="240" w:lineRule="auto"/>
        <w:ind w:firstLine="709"/>
        <w:rPr>
          <w:rFonts w:ascii="Verdana" w:hAnsi="Verdana" w:cs="Arial"/>
          <w:color w:val="000000"/>
          <w:sz w:val="20"/>
          <w:szCs w:val="20"/>
        </w:rPr>
      </w:pPr>
      <w:r w:rsidRPr="005E22A0">
        <w:rPr>
          <w:rFonts w:ascii="Verdana" w:hAnsi="Verdana" w:cs="Arial"/>
          <w:color w:val="000000"/>
          <w:sz w:val="20"/>
          <w:szCs w:val="20"/>
        </w:rPr>
        <w:t>Při měření průrazek se postupuje dle návodu výrobce „NÁVOD NA MONTÁŽ, OBSLUHU A ÚDRŽBU PRŮRAZKY TYPU HGS 150RW“, používá se přístroj GIGATEST pro. Po zapnutí přístroje se na úvodní obrazovce vybere typ průrazky 250 V nebo 500 V. Po připojení dle návodu zapneme měření. Přístroj proved kontrolu, zda je připojena průrazka (bleskojistka) a dále pokračuje v měření zapalovacího napětí. Po ukončení měření se na obrazovce přístroje zobrazí velikost zapalovacího napětí a informace, zda test proběl v pořádku.</w:t>
      </w:r>
    </w:p>
    <w:p w14:paraId="36143779" w14:textId="310B6F8E" w:rsidR="00FA7957" w:rsidRDefault="00FA7957" w:rsidP="00A4615C">
      <w:pPr>
        <w:pStyle w:val="Odstavecseseznamem"/>
        <w:numPr>
          <w:ilvl w:val="0"/>
          <w:numId w:val="26"/>
        </w:numPr>
        <w:spacing w:after="120" w:line="240" w:lineRule="auto"/>
        <w:ind w:left="1066" w:hanging="357"/>
        <w:rPr>
          <w:rFonts w:ascii="Verdana" w:hAnsi="Verdana" w:cs="Arial"/>
          <w:color w:val="000000"/>
          <w:sz w:val="20"/>
          <w:szCs w:val="20"/>
        </w:rPr>
      </w:pPr>
      <w:r w:rsidRPr="00A4615C">
        <w:rPr>
          <w:rFonts w:ascii="Verdana" w:hAnsi="Verdana" w:cs="Arial"/>
          <w:color w:val="000000"/>
          <w:sz w:val="20"/>
          <w:szCs w:val="20"/>
        </w:rPr>
        <w:t xml:space="preserve">V případě, že test bude neúspěšný, je možné změřit izolační odpor. Pokud bude menší než 100 </w:t>
      </w:r>
      <w:proofErr w:type="spellStart"/>
      <w:r w:rsidRPr="00A4615C">
        <w:rPr>
          <w:rFonts w:ascii="Verdana" w:hAnsi="Verdana" w:cs="Arial"/>
          <w:color w:val="000000"/>
          <w:sz w:val="20"/>
          <w:szCs w:val="20"/>
        </w:rPr>
        <w:t>kΩ</w:t>
      </w:r>
      <w:proofErr w:type="spellEnd"/>
      <w:r w:rsidRPr="00A4615C">
        <w:rPr>
          <w:rFonts w:ascii="Verdana" w:hAnsi="Verdana" w:cs="Arial"/>
          <w:color w:val="000000"/>
          <w:sz w:val="20"/>
          <w:szCs w:val="20"/>
        </w:rPr>
        <w:t xml:space="preserve"> je nutné průrazku vyměnit. </w:t>
      </w:r>
    </w:p>
    <w:p w14:paraId="527EF0A7" w14:textId="77777777" w:rsidR="00A4615C" w:rsidRPr="00A4615C" w:rsidRDefault="00A4615C" w:rsidP="00A4615C">
      <w:pPr>
        <w:pStyle w:val="Odstavecseseznamem"/>
        <w:spacing w:after="120" w:line="240" w:lineRule="auto"/>
        <w:ind w:left="1066"/>
        <w:rPr>
          <w:rFonts w:ascii="Verdana" w:hAnsi="Verdana" w:cs="Arial"/>
          <w:color w:val="000000"/>
          <w:sz w:val="20"/>
          <w:szCs w:val="20"/>
        </w:rPr>
      </w:pPr>
    </w:p>
    <w:p w14:paraId="40A0E0C4" w14:textId="7CFAAC07" w:rsidR="00FA7957" w:rsidRPr="00A4615C" w:rsidRDefault="00FA7957" w:rsidP="00A4615C">
      <w:pPr>
        <w:pStyle w:val="Odstavecseseznamem"/>
        <w:numPr>
          <w:ilvl w:val="0"/>
          <w:numId w:val="26"/>
        </w:numPr>
        <w:spacing w:after="0" w:line="240" w:lineRule="auto"/>
        <w:rPr>
          <w:rFonts w:ascii="Verdana" w:hAnsi="Verdana" w:cs="Arial"/>
          <w:color w:val="000000"/>
          <w:sz w:val="20"/>
          <w:szCs w:val="20"/>
        </w:rPr>
      </w:pPr>
      <w:r w:rsidRPr="00A4615C">
        <w:rPr>
          <w:rFonts w:ascii="Verdana" w:hAnsi="Verdana" w:cs="Arial"/>
          <w:color w:val="000000"/>
          <w:sz w:val="20"/>
          <w:szCs w:val="20"/>
        </w:rPr>
        <w:t xml:space="preserve">V případě, že izolační odpor je větší než 100 </w:t>
      </w:r>
      <w:proofErr w:type="spellStart"/>
      <w:r w:rsidRPr="00A4615C">
        <w:rPr>
          <w:rFonts w:ascii="Verdana" w:hAnsi="Verdana" w:cs="Arial"/>
          <w:color w:val="000000"/>
          <w:sz w:val="20"/>
          <w:szCs w:val="20"/>
        </w:rPr>
        <w:t>kΩ</w:t>
      </w:r>
      <w:proofErr w:type="spellEnd"/>
      <w:r w:rsidRPr="00A4615C">
        <w:rPr>
          <w:rFonts w:ascii="Verdana" w:hAnsi="Verdana" w:cs="Arial"/>
          <w:color w:val="000000"/>
          <w:sz w:val="20"/>
          <w:szCs w:val="20"/>
        </w:rPr>
        <w:t xml:space="preserve"> je možné průrazku ponechat, ale provést následnou kontrolu.</w:t>
      </w:r>
    </w:p>
    <w:p w14:paraId="76DBA7CD" w14:textId="77777777" w:rsidR="00FA7957" w:rsidRPr="005E22A0" w:rsidRDefault="00FA7957" w:rsidP="00FA7957">
      <w:pPr>
        <w:spacing w:after="0" w:line="240" w:lineRule="auto"/>
        <w:ind w:firstLine="709"/>
        <w:rPr>
          <w:rFonts w:ascii="Verdana" w:hAnsi="Verdana" w:cs="Arial"/>
          <w:color w:val="000000"/>
          <w:sz w:val="20"/>
          <w:szCs w:val="20"/>
        </w:rPr>
      </w:pPr>
    </w:p>
    <w:p w14:paraId="63C15330" w14:textId="3DE4CA6E" w:rsidR="00FA7957" w:rsidRPr="005E22A0" w:rsidRDefault="00FA7957" w:rsidP="00FA7957">
      <w:pPr>
        <w:spacing w:line="360" w:lineRule="auto"/>
        <w:rPr>
          <w:rFonts w:ascii="Verdana" w:hAnsi="Verdana"/>
          <w:sz w:val="20"/>
          <w:szCs w:val="20"/>
        </w:rPr>
      </w:pPr>
      <w:r w:rsidRPr="005E22A0">
        <w:rPr>
          <w:rFonts w:ascii="Verdana" w:hAnsi="Verdana"/>
          <w:sz w:val="20"/>
          <w:szCs w:val="20"/>
        </w:rPr>
        <w:t>Nevyhovující průrazk</w:t>
      </w:r>
      <w:r w:rsidRPr="00495F3E">
        <w:rPr>
          <w:rFonts w:ascii="Verdana" w:hAnsi="Verdana"/>
          <w:sz w:val="20"/>
          <w:szCs w:val="20"/>
        </w:rPr>
        <w:t>y budou repasovány</w:t>
      </w:r>
      <w:r w:rsidR="00F6710F" w:rsidRPr="00495F3E">
        <w:rPr>
          <w:rFonts w:ascii="Verdana" w:hAnsi="Verdana"/>
          <w:sz w:val="20"/>
          <w:szCs w:val="20"/>
        </w:rPr>
        <w:t>, nebo při zjištěni vadné bleskojistky průrazky vyměněny za nové</w:t>
      </w:r>
      <w:r w:rsidRPr="00495F3E">
        <w:rPr>
          <w:rFonts w:ascii="Verdana" w:hAnsi="Verdana"/>
          <w:sz w:val="20"/>
          <w:szCs w:val="20"/>
        </w:rPr>
        <w:t>.</w:t>
      </w:r>
      <w:r w:rsidRPr="005E22A0">
        <w:rPr>
          <w:rFonts w:ascii="Verdana" w:hAnsi="Verdana"/>
          <w:sz w:val="20"/>
          <w:szCs w:val="20"/>
        </w:rPr>
        <w:t xml:space="preserve"> </w:t>
      </w:r>
    </w:p>
    <w:p w14:paraId="06153CFF" w14:textId="11D125EF" w:rsidR="00C41C3D" w:rsidRDefault="00566E63" w:rsidP="00C41C3D">
      <w:pPr>
        <w:pStyle w:val="Nadpis2"/>
      </w:pPr>
      <w:bookmarkStart w:id="1" w:name="_Hlk158118593"/>
      <w:r>
        <w:t>Repase průrazek</w:t>
      </w:r>
    </w:p>
    <w:p w14:paraId="638328E8" w14:textId="77777777" w:rsidR="00397A0C" w:rsidRDefault="00397A0C" w:rsidP="00566E63">
      <w:pPr>
        <w:spacing w:line="240" w:lineRule="auto"/>
        <w:rPr>
          <w:rFonts w:ascii="Verdana" w:hAnsi="Verdana"/>
          <w:sz w:val="20"/>
          <w:szCs w:val="20"/>
          <w:u w:val="single"/>
        </w:rPr>
      </w:pPr>
    </w:p>
    <w:p w14:paraId="44C1D170" w14:textId="69E3CED8" w:rsidR="00566E63" w:rsidRPr="005E22A0" w:rsidRDefault="00566E63" w:rsidP="00566E63">
      <w:pPr>
        <w:spacing w:line="240" w:lineRule="auto"/>
        <w:rPr>
          <w:rFonts w:ascii="Verdana" w:hAnsi="Verdana"/>
          <w:sz w:val="20"/>
          <w:szCs w:val="20"/>
          <w:u w:val="single"/>
        </w:rPr>
      </w:pPr>
      <w:r w:rsidRPr="005E22A0">
        <w:rPr>
          <w:rFonts w:ascii="Verdana" w:hAnsi="Verdana"/>
          <w:sz w:val="20"/>
          <w:szCs w:val="20"/>
          <w:u w:val="single"/>
        </w:rPr>
        <w:t>Budou rozlišeny dva rozsahy repase průrazky:</w:t>
      </w:r>
    </w:p>
    <w:p w14:paraId="5A8C92E6" w14:textId="77777777" w:rsidR="00566E63" w:rsidRPr="005E22A0" w:rsidRDefault="00566E63" w:rsidP="00566E63">
      <w:pPr>
        <w:pStyle w:val="Odstavecseseznamem"/>
        <w:numPr>
          <w:ilvl w:val="0"/>
          <w:numId w:val="25"/>
        </w:numPr>
        <w:spacing w:after="200" w:line="240" w:lineRule="auto"/>
        <w:rPr>
          <w:rFonts w:ascii="Verdana" w:hAnsi="Verdana"/>
          <w:sz w:val="20"/>
          <w:szCs w:val="20"/>
        </w:rPr>
      </w:pPr>
      <w:r w:rsidRPr="005E22A0">
        <w:rPr>
          <w:rFonts w:ascii="Verdana" w:hAnsi="Verdana"/>
          <w:sz w:val="20"/>
          <w:szCs w:val="20"/>
        </w:rPr>
        <w:t>Bleskojistka průrazky je v pořádku a zůstává původní – REPASE PRŮRAZKY</w:t>
      </w:r>
    </w:p>
    <w:p w14:paraId="5DEC59E5" w14:textId="1B50087A" w:rsidR="00566E63" w:rsidRPr="005E22A0" w:rsidRDefault="00566E63" w:rsidP="00566E63">
      <w:pPr>
        <w:pStyle w:val="Odstavecseseznamem"/>
        <w:numPr>
          <w:ilvl w:val="0"/>
          <w:numId w:val="25"/>
        </w:numPr>
        <w:spacing w:after="200" w:line="240" w:lineRule="auto"/>
        <w:rPr>
          <w:rFonts w:ascii="Verdana" w:hAnsi="Verdana"/>
          <w:sz w:val="20"/>
          <w:szCs w:val="20"/>
        </w:rPr>
      </w:pPr>
      <w:r w:rsidRPr="005E22A0">
        <w:rPr>
          <w:rFonts w:ascii="Verdana" w:hAnsi="Verdana"/>
          <w:sz w:val="20"/>
          <w:szCs w:val="20"/>
        </w:rPr>
        <w:t>Bleskojistka průrazky je vadná a dochází k dodání celé nové průrazky –PRŮRAZKY - NOVÁ</w:t>
      </w:r>
    </w:p>
    <w:p w14:paraId="4F4185F3" w14:textId="5407A4E9" w:rsidR="00566E63" w:rsidRPr="005E22A0" w:rsidRDefault="003261F5" w:rsidP="00566E63">
      <w:pPr>
        <w:ind w:firstLine="360"/>
        <w:rPr>
          <w:rFonts w:ascii="Verdana" w:hAnsi="Verdana"/>
          <w:sz w:val="20"/>
          <w:szCs w:val="20"/>
        </w:rPr>
      </w:pPr>
      <w:r w:rsidRPr="005E22A0">
        <w:rPr>
          <w:rFonts w:ascii="Verdana" w:hAnsi="Verdana"/>
          <w:sz w:val="20"/>
          <w:szCs w:val="20"/>
        </w:rPr>
        <w:t xml:space="preserve">Průrazky budou </w:t>
      </w:r>
      <w:r>
        <w:rPr>
          <w:rFonts w:ascii="Verdana" w:hAnsi="Verdana"/>
          <w:sz w:val="20"/>
          <w:szCs w:val="20"/>
        </w:rPr>
        <w:t>nakládány</w:t>
      </w:r>
      <w:r w:rsidRPr="005E22A0">
        <w:rPr>
          <w:rFonts w:ascii="Verdana" w:hAnsi="Verdana"/>
          <w:sz w:val="20"/>
          <w:szCs w:val="20"/>
        </w:rPr>
        <w:t xml:space="preserve"> na speciálně upravené palet</w:t>
      </w:r>
      <w:r>
        <w:rPr>
          <w:rFonts w:ascii="Verdana" w:hAnsi="Verdana"/>
          <w:sz w:val="20"/>
          <w:szCs w:val="20"/>
        </w:rPr>
        <w:t>y</w:t>
      </w:r>
      <w:r w:rsidRPr="005E22A0">
        <w:rPr>
          <w:rFonts w:ascii="Verdana" w:hAnsi="Verdana"/>
          <w:sz w:val="20"/>
          <w:szCs w:val="20"/>
        </w:rPr>
        <w:t>. Paleta bude vyrobena tak, aby nebyly průrazky při dopravě poškozeny. Tato paleta bude dimenzována na minimální množství 100ks průrazek. Uložení průrazek do přepravní palety</w:t>
      </w:r>
      <w:r>
        <w:rPr>
          <w:rFonts w:ascii="Verdana" w:hAnsi="Verdana"/>
          <w:sz w:val="20"/>
          <w:szCs w:val="20"/>
        </w:rPr>
        <w:t xml:space="preserve"> pro účely  odvozu průrazek do provozovny zhotovitele </w:t>
      </w:r>
      <w:r>
        <w:rPr>
          <w:rFonts w:ascii="Verdana" w:hAnsi="Verdana"/>
          <w:sz w:val="20"/>
          <w:szCs w:val="20"/>
        </w:rPr>
        <w:t xml:space="preserve"> a </w:t>
      </w:r>
      <w:r>
        <w:rPr>
          <w:rFonts w:ascii="Verdana" w:hAnsi="Verdana"/>
          <w:sz w:val="20"/>
          <w:szCs w:val="20"/>
        </w:rPr>
        <w:t xml:space="preserve">následné </w:t>
      </w:r>
      <w:r>
        <w:rPr>
          <w:rFonts w:ascii="Verdana" w:hAnsi="Verdana"/>
          <w:sz w:val="20"/>
          <w:szCs w:val="20"/>
        </w:rPr>
        <w:t>vyložení</w:t>
      </w:r>
      <w:r>
        <w:rPr>
          <w:rFonts w:ascii="Verdana" w:hAnsi="Verdana"/>
          <w:sz w:val="20"/>
          <w:szCs w:val="20"/>
        </w:rPr>
        <w:t xml:space="preserve"> repasovaných</w:t>
      </w:r>
      <w:r>
        <w:rPr>
          <w:rFonts w:ascii="Verdana" w:hAnsi="Verdana"/>
          <w:sz w:val="20"/>
          <w:szCs w:val="20"/>
        </w:rPr>
        <w:t xml:space="preserve"> </w:t>
      </w:r>
      <w:r w:rsidRPr="005E22A0">
        <w:rPr>
          <w:rFonts w:ascii="Verdana" w:hAnsi="Verdana"/>
          <w:sz w:val="20"/>
          <w:szCs w:val="20"/>
        </w:rPr>
        <w:t xml:space="preserve"> průrazek </w:t>
      </w:r>
      <w:r>
        <w:rPr>
          <w:rFonts w:ascii="Verdana" w:hAnsi="Verdana"/>
          <w:sz w:val="20"/>
          <w:szCs w:val="20"/>
        </w:rPr>
        <w:t>z</w:t>
      </w:r>
      <w:r w:rsidRPr="005E22A0">
        <w:rPr>
          <w:rFonts w:ascii="Verdana" w:hAnsi="Verdana"/>
          <w:sz w:val="20"/>
          <w:szCs w:val="20"/>
        </w:rPr>
        <w:t xml:space="preserve"> přepravní palety</w:t>
      </w:r>
      <w:r>
        <w:rPr>
          <w:rFonts w:ascii="Verdana" w:hAnsi="Verdana"/>
          <w:sz w:val="20"/>
          <w:szCs w:val="20"/>
        </w:rPr>
        <w:t xml:space="preserve"> v místech určených v objednávkách</w:t>
      </w:r>
      <w:r>
        <w:rPr>
          <w:rFonts w:ascii="Verdana" w:hAnsi="Verdana"/>
          <w:sz w:val="20"/>
          <w:szCs w:val="20"/>
        </w:rPr>
        <w:t xml:space="preserve"> </w:t>
      </w:r>
      <w:r w:rsidRPr="005E22A0">
        <w:rPr>
          <w:rFonts w:ascii="Verdana" w:hAnsi="Verdana"/>
          <w:sz w:val="20"/>
          <w:szCs w:val="20"/>
        </w:rPr>
        <w:t>zajistí objednatel.</w:t>
      </w:r>
    </w:p>
    <w:p w14:paraId="1FBC9A5D" w14:textId="77777777" w:rsidR="00566E63" w:rsidRPr="005E22A0" w:rsidRDefault="00566E63" w:rsidP="00566E63">
      <w:pPr>
        <w:ind w:firstLine="360"/>
        <w:rPr>
          <w:rFonts w:ascii="Verdana" w:hAnsi="Verdana"/>
          <w:sz w:val="20"/>
          <w:szCs w:val="20"/>
        </w:rPr>
      </w:pPr>
      <w:r w:rsidRPr="005E22A0">
        <w:rPr>
          <w:rFonts w:ascii="Verdana" w:hAnsi="Verdana"/>
          <w:sz w:val="20"/>
          <w:szCs w:val="20"/>
        </w:rPr>
        <w:t>Součástí předávky bude i předávací protokol.</w:t>
      </w:r>
    </w:p>
    <w:p w14:paraId="337C52DE" w14:textId="0792F386" w:rsidR="001313AF" w:rsidRDefault="001313AF" w:rsidP="001313AF">
      <w:pPr>
        <w:pStyle w:val="Nadpis3"/>
      </w:pPr>
      <w:bookmarkStart w:id="2" w:name="_Toc284315761"/>
      <w:bookmarkStart w:id="3" w:name="_Toc309202247"/>
      <w:bookmarkStart w:id="4" w:name="_Toc384209031"/>
      <w:bookmarkStart w:id="5" w:name="_Toc52269504"/>
      <w:bookmarkStart w:id="6" w:name="_Toc205991253"/>
      <w:bookmarkStart w:id="7" w:name="_Toc284315762"/>
      <w:bookmarkStart w:id="8" w:name="_Toc309202248"/>
      <w:bookmarkStart w:id="9" w:name="_Toc384209032"/>
      <w:bookmarkStart w:id="10" w:name="_Toc52269505"/>
      <w:bookmarkEnd w:id="1"/>
      <w:r w:rsidRPr="00F075AD">
        <w:t xml:space="preserve">Vymezení rozsahu a obsahu </w:t>
      </w:r>
      <w:bookmarkEnd w:id="2"/>
      <w:bookmarkEnd w:id="3"/>
      <w:bookmarkEnd w:id="4"/>
      <w:bookmarkEnd w:id="5"/>
      <w:bookmarkEnd w:id="6"/>
      <w:r w:rsidR="00566E63">
        <w:t>zakázky</w:t>
      </w:r>
    </w:p>
    <w:p w14:paraId="30B87004" w14:textId="77777777" w:rsidR="00566E63" w:rsidRPr="00566E63" w:rsidRDefault="00566E63" w:rsidP="00566E63"/>
    <w:p w14:paraId="633ED3C8" w14:textId="77777777" w:rsidR="00566E63" w:rsidRPr="005E22A0" w:rsidRDefault="00566E63" w:rsidP="00566E63">
      <w:pPr>
        <w:rPr>
          <w:rFonts w:ascii="Verdana" w:hAnsi="Verdana"/>
          <w:sz w:val="20"/>
          <w:szCs w:val="20"/>
          <w:u w:val="single"/>
        </w:rPr>
      </w:pPr>
      <w:r w:rsidRPr="005E22A0">
        <w:rPr>
          <w:rFonts w:ascii="Verdana" w:hAnsi="Verdana"/>
          <w:sz w:val="20"/>
          <w:szCs w:val="20"/>
          <w:u w:val="single"/>
        </w:rPr>
        <w:t>V rámci repase průrazek budou provedeny tyto konkrétní činnosti:</w:t>
      </w:r>
    </w:p>
    <w:tbl>
      <w:tblPr>
        <w:tblW w:w="8941" w:type="dxa"/>
        <w:tblInd w:w="-1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7"/>
        <w:gridCol w:w="6096"/>
        <w:gridCol w:w="2268"/>
      </w:tblGrid>
      <w:tr w:rsidR="00566E63" w:rsidRPr="005E22A0" w14:paraId="72BC59CF" w14:textId="77777777" w:rsidTr="00A546D2">
        <w:trPr>
          <w:trHeight w:val="53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C4F7E23" w14:textId="77777777" w:rsidR="00566E63" w:rsidRPr="005E22A0" w:rsidRDefault="00566E63" w:rsidP="00A546D2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5E22A0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0A706CB" w14:textId="361AEDEF" w:rsidR="00566E63" w:rsidRPr="005E22A0" w:rsidRDefault="00566E63" w:rsidP="00A546D2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5E22A0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Repase průrazky (250 V, 500 V)</w:t>
            </w:r>
            <w:r w:rsidR="00A4615C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 xml:space="preserve"> - </w:t>
            </w:r>
            <w:r w:rsidR="00A4615C" w:rsidRPr="005E22A0">
              <w:rPr>
                <w:rFonts w:ascii="Verdana" w:hAnsi="Verdana"/>
                <w:sz w:val="20"/>
                <w:szCs w:val="20"/>
              </w:rPr>
              <w:t>Bleskojistka průrazky je v pořádku</w:t>
            </w:r>
          </w:p>
        </w:tc>
      </w:tr>
      <w:tr w:rsidR="00566E63" w:rsidRPr="005E22A0" w14:paraId="2C44A785" w14:textId="77777777" w:rsidTr="00A546D2">
        <w:trPr>
          <w:trHeight w:val="53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E3FA7" w14:textId="77777777" w:rsidR="00566E63" w:rsidRPr="005E22A0" w:rsidRDefault="00566E63" w:rsidP="00A546D2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5E22A0">
              <w:rPr>
                <w:rFonts w:ascii="Verdana" w:hAnsi="Verdana" w:cs="Arial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CC16A" w14:textId="77777777" w:rsidR="00566E63" w:rsidRPr="005E22A0" w:rsidRDefault="00566E63" w:rsidP="00A546D2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5E22A0">
              <w:rPr>
                <w:rFonts w:ascii="Verdana" w:hAnsi="Verdana" w:cs="Arial"/>
                <w:color w:val="000000"/>
                <w:sz w:val="20"/>
                <w:szCs w:val="20"/>
              </w:rPr>
              <w:t>diagnostika průrazky, základní proměření</w:t>
            </w:r>
          </w:p>
        </w:tc>
      </w:tr>
      <w:tr w:rsidR="00566E63" w:rsidRPr="005E22A0" w14:paraId="3C71AB80" w14:textId="77777777" w:rsidTr="00A546D2">
        <w:trPr>
          <w:trHeight w:val="537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B7301" w14:textId="77777777" w:rsidR="00566E63" w:rsidRPr="005E22A0" w:rsidRDefault="00566E63" w:rsidP="00A546D2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5E22A0">
              <w:rPr>
                <w:rFonts w:ascii="Verdana" w:hAnsi="Verdana" w:cs="Arial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8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7D776" w14:textId="77777777" w:rsidR="00566E63" w:rsidRPr="005E22A0" w:rsidRDefault="00566E63" w:rsidP="00A546D2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5E22A0">
              <w:rPr>
                <w:rFonts w:ascii="Verdana" w:hAnsi="Verdana" w:cs="Arial"/>
                <w:color w:val="000000"/>
                <w:sz w:val="20"/>
                <w:szCs w:val="20"/>
              </w:rPr>
              <w:t>kompletní rozložení průrazky na jednotlivé komponenty</w:t>
            </w:r>
          </w:p>
        </w:tc>
      </w:tr>
      <w:tr w:rsidR="00566E63" w:rsidRPr="005E22A0" w14:paraId="0D7A6B4D" w14:textId="77777777" w:rsidTr="00A546D2">
        <w:trPr>
          <w:trHeight w:val="537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D1AF9" w14:textId="77777777" w:rsidR="00566E63" w:rsidRPr="005E22A0" w:rsidRDefault="00566E63" w:rsidP="00A546D2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5E22A0">
              <w:rPr>
                <w:rFonts w:ascii="Verdana" w:hAnsi="Verdana" w:cs="Arial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8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0BB9E" w14:textId="77777777" w:rsidR="00566E63" w:rsidRPr="005E22A0" w:rsidRDefault="00566E63" w:rsidP="00A546D2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5E22A0">
              <w:rPr>
                <w:rFonts w:ascii="Verdana" w:hAnsi="Verdana" w:cs="Arial"/>
                <w:color w:val="000000"/>
                <w:sz w:val="20"/>
                <w:szCs w:val="20"/>
              </w:rPr>
              <w:t>analýza funkčnosti bleskojistky průrazky (závěr vyhovující)</w:t>
            </w:r>
          </w:p>
        </w:tc>
      </w:tr>
      <w:tr w:rsidR="00566E63" w:rsidRPr="005E22A0" w14:paraId="34B27530" w14:textId="77777777" w:rsidTr="00A546D2">
        <w:trPr>
          <w:trHeight w:val="537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326B7" w14:textId="77777777" w:rsidR="00566E63" w:rsidRPr="005E22A0" w:rsidRDefault="00566E63" w:rsidP="00A546D2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5E22A0">
              <w:rPr>
                <w:rFonts w:ascii="Verdana" w:hAnsi="Verdana" w:cs="Arial"/>
                <w:color w:val="000000"/>
                <w:sz w:val="20"/>
                <w:szCs w:val="20"/>
              </w:rPr>
              <w:lastRenderedPageBreak/>
              <w:t>1.4.</w:t>
            </w:r>
          </w:p>
        </w:tc>
        <w:tc>
          <w:tcPr>
            <w:tcW w:w="8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107BB" w14:textId="77777777" w:rsidR="00566E63" w:rsidRPr="005E22A0" w:rsidRDefault="00566E63" w:rsidP="00A546D2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5E22A0">
              <w:rPr>
                <w:rFonts w:ascii="Verdana" w:hAnsi="Verdana" w:cs="Arial"/>
                <w:color w:val="000000"/>
                <w:sz w:val="20"/>
                <w:szCs w:val="20"/>
              </w:rPr>
              <w:t>kompletní vyčištění pouzdra průrazky</w:t>
            </w:r>
          </w:p>
        </w:tc>
      </w:tr>
      <w:tr w:rsidR="00566E63" w:rsidRPr="005E22A0" w14:paraId="54B58DA7" w14:textId="77777777" w:rsidTr="00A546D2">
        <w:trPr>
          <w:trHeight w:val="537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68DA0" w14:textId="77777777" w:rsidR="00566E63" w:rsidRPr="005E22A0" w:rsidRDefault="00566E63" w:rsidP="00A546D2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5E22A0">
              <w:rPr>
                <w:rFonts w:ascii="Verdana" w:hAnsi="Verdana" w:cs="Arial"/>
                <w:color w:val="000000"/>
                <w:sz w:val="20"/>
                <w:szCs w:val="20"/>
              </w:rPr>
              <w:t>1.5.</w:t>
            </w:r>
          </w:p>
        </w:tc>
        <w:tc>
          <w:tcPr>
            <w:tcW w:w="8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40F23" w14:textId="77777777" w:rsidR="00566E63" w:rsidRPr="005E22A0" w:rsidRDefault="00566E63" w:rsidP="00A546D2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5E22A0">
              <w:rPr>
                <w:rFonts w:ascii="Verdana" w:hAnsi="Verdana" w:cs="Arial"/>
                <w:color w:val="000000"/>
                <w:sz w:val="20"/>
                <w:szCs w:val="20"/>
              </w:rPr>
              <w:t>opětovná kompletace průrazky</w:t>
            </w:r>
          </w:p>
        </w:tc>
      </w:tr>
      <w:tr w:rsidR="00566E63" w:rsidRPr="005E22A0" w14:paraId="5D22AB0D" w14:textId="77777777" w:rsidTr="00A546D2">
        <w:trPr>
          <w:trHeight w:val="537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814A3" w14:textId="77777777" w:rsidR="00566E63" w:rsidRPr="005E22A0" w:rsidRDefault="00566E63" w:rsidP="00A546D2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5E22A0">
              <w:rPr>
                <w:rFonts w:ascii="Verdana" w:hAnsi="Verdana" w:cs="Arial"/>
                <w:color w:val="000000"/>
                <w:sz w:val="20"/>
                <w:szCs w:val="20"/>
              </w:rPr>
              <w:t>1.6.</w:t>
            </w:r>
          </w:p>
        </w:tc>
        <w:tc>
          <w:tcPr>
            <w:tcW w:w="8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C8A4E" w14:textId="77777777" w:rsidR="00566E63" w:rsidRPr="005E22A0" w:rsidRDefault="00566E63" w:rsidP="00A546D2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5E22A0">
              <w:rPr>
                <w:rFonts w:ascii="Verdana" w:hAnsi="Verdana" w:cs="Arial"/>
                <w:color w:val="000000"/>
                <w:sz w:val="20"/>
                <w:szCs w:val="20"/>
              </w:rPr>
              <w:t>finální zapouzdření průrazky, vč. zalití pryskyřicí</w:t>
            </w:r>
          </w:p>
        </w:tc>
      </w:tr>
      <w:tr w:rsidR="00566E63" w:rsidRPr="005E22A0" w14:paraId="11FC0D71" w14:textId="77777777" w:rsidTr="00A546D2">
        <w:trPr>
          <w:trHeight w:val="537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8EDF6" w14:textId="77777777" w:rsidR="00566E63" w:rsidRPr="005E22A0" w:rsidRDefault="00566E63" w:rsidP="00A546D2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5E22A0">
              <w:rPr>
                <w:rFonts w:ascii="Verdana" w:hAnsi="Verdana" w:cs="Arial"/>
                <w:color w:val="000000"/>
                <w:sz w:val="20"/>
                <w:szCs w:val="20"/>
              </w:rPr>
              <w:t>1.7.</w:t>
            </w:r>
          </w:p>
        </w:tc>
        <w:tc>
          <w:tcPr>
            <w:tcW w:w="8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DC0D8" w14:textId="77777777" w:rsidR="00566E63" w:rsidRPr="005E22A0" w:rsidRDefault="00566E63" w:rsidP="00A546D2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E22A0">
              <w:rPr>
                <w:rFonts w:ascii="Verdana" w:hAnsi="Verdana" w:cs="Arial"/>
                <w:color w:val="000000"/>
                <w:sz w:val="20"/>
                <w:szCs w:val="20"/>
              </w:rPr>
              <w:t>laserování</w:t>
            </w:r>
            <w:proofErr w:type="spellEnd"/>
            <w:r w:rsidRPr="005E22A0">
              <w:rPr>
                <w:rFonts w:ascii="Verdana" w:hAnsi="Verdana" w:cs="Arial"/>
                <w:color w:val="000000"/>
                <w:sz w:val="20"/>
                <w:szCs w:val="20"/>
              </w:rPr>
              <w:t xml:space="preserve"> nového výrobního čísla (původní číslo + "R" na konci, např. "12345R")</w:t>
            </w:r>
          </w:p>
        </w:tc>
      </w:tr>
      <w:tr w:rsidR="00566E63" w:rsidRPr="005E22A0" w14:paraId="778A9036" w14:textId="77777777" w:rsidTr="00A546D2">
        <w:trPr>
          <w:trHeight w:val="537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C5BFB" w14:textId="77777777" w:rsidR="00566E63" w:rsidRPr="005E22A0" w:rsidRDefault="00566E63" w:rsidP="00A546D2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5E22A0">
              <w:rPr>
                <w:rFonts w:ascii="Verdana" w:hAnsi="Verdana" w:cs="Arial"/>
                <w:color w:val="000000"/>
                <w:sz w:val="20"/>
                <w:szCs w:val="20"/>
              </w:rPr>
              <w:t>1.8.</w:t>
            </w:r>
          </w:p>
        </w:tc>
        <w:tc>
          <w:tcPr>
            <w:tcW w:w="8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815AF0" w14:textId="77777777" w:rsidR="00566E63" w:rsidRPr="005E22A0" w:rsidRDefault="00566E63" w:rsidP="00A546D2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5E22A0">
              <w:rPr>
                <w:rFonts w:ascii="Verdana" w:hAnsi="Verdana" w:cs="Arial"/>
                <w:color w:val="000000"/>
                <w:sz w:val="20"/>
                <w:szCs w:val="20"/>
              </w:rPr>
              <w:t>vydání protokolu o provedené repasi</w:t>
            </w:r>
          </w:p>
        </w:tc>
      </w:tr>
      <w:tr w:rsidR="00566E63" w:rsidRPr="005E22A0" w14:paraId="6AA1FD23" w14:textId="77777777" w:rsidTr="00A546D2">
        <w:trPr>
          <w:trHeight w:val="537"/>
        </w:trPr>
        <w:tc>
          <w:tcPr>
            <w:tcW w:w="5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CB5E75" w14:textId="77777777" w:rsidR="00566E63" w:rsidRPr="005E22A0" w:rsidRDefault="00566E63" w:rsidP="00A546D2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F36547" w14:textId="77777777" w:rsidR="00566E63" w:rsidRPr="005E22A0" w:rsidRDefault="00566E63" w:rsidP="00A546D2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812629" w14:textId="77777777" w:rsidR="00566E63" w:rsidRPr="005E22A0" w:rsidRDefault="00566E63" w:rsidP="00A546D2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66E63" w:rsidRPr="005E22A0" w14:paraId="2315E827" w14:textId="77777777" w:rsidTr="00A546D2">
        <w:trPr>
          <w:trHeight w:val="53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379067F" w14:textId="77777777" w:rsidR="00566E63" w:rsidRPr="005E22A0" w:rsidRDefault="00566E63" w:rsidP="00A546D2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5E22A0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4FB2DB9" w14:textId="24EF6042" w:rsidR="00566E63" w:rsidRPr="005E22A0" w:rsidRDefault="00F6710F" w:rsidP="00A546D2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P</w:t>
            </w:r>
            <w:r w:rsidR="00566E63" w:rsidRPr="005E22A0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růrazky - nová (250 V, 500 V)</w:t>
            </w:r>
            <w:r w:rsidR="00A4615C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 xml:space="preserve"> - </w:t>
            </w:r>
            <w:r w:rsidR="00A4615C" w:rsidRPr="005E22A0">
              <w:rPr>
                <w:rFonts w:ascii="Verdana" w:hAnsi="Verdana"/>
                <w:sz w:val="20"/>
                <w:szCs w:val="20"/>
              </w:rPr>
              <w:t>Bleskojistka průrazky je vadná</w:t>
            </w:r>
          </w:p>
        </w:tc>
      </w:tr>
      <w:tr w:rsidR="00566E63" w:rsidRPr="005E22A0" w14:paraId="1867ED4B" w14:textId="77777777" w:rsidTr="00A546D2">
        <w:trPr>
          <w:trHeight w:val="53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7E0C2" w14:textId="77777777" w:rsidR="00566E63" w:rsidRPr="005E22A0" w:rsidRDefault="00566E63" w:rsidP="00A546D2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5E22A0">
              <w:rPr>
                <w:rFonts w:ascii="Verdana" w:hAnsi="Verdana" w:cs="Arial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F63BFC" w14:textId="77777777" w:rsidR="00566E63" w:rsidRPr="005E22A0" w:rsidRDefault="00566E63" w:rsidP="00A546D2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5E22A0">
              <w:rPr>
                <w:rFonts w:ascii="Verdana" w:hAnsi="Verdana" w:cs="Arial"/>
                <w:color w:val="000000"/>
                <w:sz w:val="20"/>
                <w:szCs w:val="20"/>
              </w:rPr>
              <w:t>diagnostika průrazky, základní proměření</w:t>
            </w:r>
          </w:p>
        </w:tc>
      </w:tr>
      <w:tr w:rsidR="00566E63" w:rsidRPr="005E22A0" w14:paraId="1AC5CD63" w14:textId="77777777" w:rsidTr="00A546D2">
        <w:trPr>
          <w:trHeight w:val="53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7194E" w14:textId="77777777" w:rsidR="00566E63" w:rsidRPr="005E22A0" w:rsidRDefault="00566E63" w:rsidP="00A546D2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5E22A0">
              <w:rPr>
                <w:rFonts w:ascii="Verdana" w:hAnsi="Verdana" w:cs="Arial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62B4FB" w14:textId="77777777" w:rsidR="00566E63" w:rsidRPr="005E22A0" w:rsidRDefault="00566E63" w:rsidP="00A546D2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5E22A0">
              <w:rPr>
                <w:rFonts w:ascii="Verdana" w:hAnsi="Verdana" w:cs="Arial"/>
                <w:color w:val="000000"/>
                <w:sz w:val="20"/>
                <w:szCs w:val="20"/>
              </w:rPr>
              <w:t>kompletní rozložení průrazky na jednotlivé komponenty</w:t>
            </w:r>
          </w:p>
        </w:tc>
      </w:tr>
      <w:tr w:rsidR="00566E63" w:rsidRPr="005E22A0" w14:paraId="64D82DD0" w14:textId="77777777" w:rsidTr="00A546D2">
        <w:trPr>
          <w:trHeight w:val="53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51E64" w14:textId="77777777" w:rsidR="00566E63" w:rsidRPr="005E22A0" w:rsidRDefault="00566E63" w:rsidP="00A546D2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5E22A0">
              <w:rPr>
                <w:rFonts w:ascii="Verdana" w:hAnsi="Verdana" w:cs="Arial"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4BAA7D" w14:textId="77777777" w:rsidR="00566E63" w:rsidRPr="005E22A0" w:rsidRDefault="00566E63" w:rsidP="00A546D2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5E22A0">
              <w:rPr>
                <w:rFonts w:ascii="Verdana" w:hAnsi="Verdana" w:cs="Arial"/>
                <w:color w:val="000000"/>
                <w:sz w:val="20"/>
                <w:szCs w:val="20"/>
              </w:rPr>
              <w:t>analýza funkčnosti bleskojistky průrazky (závěr nevyhovující), vč. zpracování protokolu o měření</w:t>
            </w:r>
          </w:p>
        </w:tc>
      </w:tr>
      <w:tr w:rsidR="00566E63" w:rsidRPr="005E22A0" w14:paraId="1C77AFB9" w14:textId="77777777" w:rsidTr="00A546D2">
        <w:trPr>
          <w:trHeight w:val="53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26B70" w14:textId="77777777" w:rsidR="00566E63" w:rsidRPr="005E22A0" w:rsidRDefault="00566E63" w:rsidP="00A546D2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5E22A0">
              <w:rPr>
                <w:rFonts w:ascii="Verdana" w:hAnsi="Verdana" w:cs="Arial"/>
                <w:color w:val="000000"/>
                <w:sz w:val="20"/>
                <w:szCs w:val="20"/>
              </w:rPr>
              <w:t>2.4.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C09096" w14:textId="77777777" w:rsidR="00566E63" w:rsidRPr="005E22A0" w:rsidRDefault="00566E63" w:rsidP="00A546D2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5E22A0">
              <w:rPr>
                <w:rFonts w:ascii="Verdana" w:hAnsi="Verdana" w:cs="Arial"/>
                <w:color w:val="000000"/>
                <w:sz w:val="20"/>
                <w:szCs w:val="20"/>
              </w:rPr>
              <w:t>dodání kompletní nové funkční průrazky, vč. všech dokladů</w:t>
            </w:r>
          </w:p>
        </w:tc>
      </w:tr>
      <w:tr w:rsidR="00566E63" w:rsidRPr="005E22A0" w14:paraId="40447815" w14:textId="77777777" w:rsidTr="00A546D2">
        <w:trPr>
          <w:trHeight w:val="53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D0EE5" w14:textId="77777777" w:rsidR="00566E63" w:rsidRPr="005E22A0" w:rsidRDefault="00566E63" w:rsidP="00A546D2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5E22A0">
              <w:rPr>
                <w:rFonts w:ascii="Verdana" w:hAnsi="Verdana" w:cs="Arial"/>
                <w:color w:val="000000"/>
                <w:sz w:val="20"/>
                <w:szCs w:val="20"/>
              </w:rPr>
              <w:t>2.5.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5133FE" w14:textId="77777777" w:rsidR="00566E63" w:rsidRPr="005E22A0" w:rsidRDefault="00566E63" w:rsidP="00A546D2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5E22A0">
              <w:rPr>
                <w:rFonts w:ascii="Verdana" w:hAnsi="Verdana" w:cs="Arial"/>
                <w:color w:val="000000"/>
                <w:sz w:val="20"/>
                <w:szCs w:val="20"/>
              </w:rPr>
              <w:t>nová průrazka bude mít aktuální výrobní číslo "12345"</w:t>
            </w:r>
          </w:p>
        </w:tc>
      </w:tr>
    </w:tbl>
    <w:p w14:paraId="1DBF8B2F" w14:textId="77777777" w:rsidR="00566E63" w:rsidRPr="005E22A0" w:rsidRDefault="00566E63" w:rsidP="00566E63">
      <w:pPr>
        <w:spacing w:after="0" w:line="240" w:lineRule="auto"/>
        <w:rPr>
          <w:rFonts w:ascii="Verdana" w:hAnsi="Verdana"/>
          <w:i/>
          <w:iCs/>
          <w:sz w:val="20"/>
          <w:szCs w:val="20"/>
          <w:u w:val="single"/>
        </w:rPr>
      </w:pPr>
    </w:p>
    <w:p w14:paraId="584B3D79" w14:textId="77777777" w:rsidR="00566E63" w:rsidRPr="005E22A0" w:rsidRDefault="00566E63" w:rsidP="00566E63">
      <w:pPr>
        <w:spacing w:after="0" w:line="240" w:lineRule="auto"/>
        <w:rPr>
          <w:rFonts w:ascii="Verdana" w:hAnsi="Verdana"/>
          <w:i/>
          <w:iCs/>
          <w:sz w:val="20"/>
          <w:szCs w:val="20"/>
          <w:u w:val="single"/>
        </w:rPr>
      </w:pPr>
      <w:r w:rsidRPr="005E22A0">
        <w:rPr>
          <w:rFonts w:ascii="Verdana" w:hAnsi="Verdana"/>
          <w:i/>
          <w:iCs/>
          <w:sz w:val="20"/>
          <w:szCs w:val="20"/>
          <w:u w:val="single"/>
        </w:rPr>
        <w:t>Výše uvedené položky neobsahují:</w:t>
      </w:r>
    </w:p>
    <w:p w14:paraId="59823C06" w14:textId="77777777" w:rsidR="00566E63" w:rsidRPr="005E22A0" w:rsidRDefault="00566E63" w:rsidP="00566E63">
      <w:pPr>
        <w:spacing w:after="0" w:line="240" w:lineRule="auto"/>
        <w:rPr>
          <w:rFonts w:ascii="Verdana" w:hAnsi="Verdana"/>
          <w:i/>
          <w:iCs/>
          <w:sz w:val="20"/>
          <w:szCs w:val="20"/>
        </w:rPr>
      </w:pPr>
      <w:r w:rsidRPr="005E22A0">
        <w:rPr>
          <w:rFonts w:ascii="Verdana" w:hAnsi="Verdana"/>
          <w:i/>
          <w:iCs/>
          <w:sz w:val="20"/>
          <w:szCs w:val="20"/>
        </w:rPr>
        <w:t>- demontáž průrazky z místa instalace</w:t>
      </w:r>
    </w:p>
    <w:p w14:paraId="74458FB0" w14:textId="77777777" w:rsidR="00566E63" w:rsidRPr="005E22A0" w:rsidRDefault="00566E63" w:rsidP="00566E63">
      <w:pPr>
        <w:spacing w:after="0" w:line="240" w:lineRule="auto"/>
        <w:rPr>
          <w:rFonts w:ascii="Verdana" w:hAnsi="Verdana"/>
          <w:i/>
          <w:iCs/>
          <w:sz w:val="20"/>
          <w:szCs w:val="20"/>
        </w:rPr>
      </w:pPr>
      <w:r w:rsidRPr="005E22A0">
        <w:rPr>
          <w:rFonts w:ascii="Verdana" w:hAnsi="Verdana"/>
          <w:i/>
          <w:iCs/>
          <w:sz w:val="20"/>
          <w:szCs w:val="20"/>
        </w:rPr>
        <w:t>- dopravu</w:t>
      </w:r>
    </w:p>
    <w:p w14:paraId="2BA64727" w14:textId="77777777" w:rsidR="00566E63" w:rsidRPr="005E22A0" w:rsidRDefault="00566E63" w:rsidP="00566E63">
      <w:pPr>
        <w:spacing w:after="0" w:line="240" w:lineRule="auto"/>
        <w:rPr>
          <w:rFonts w:ascii="Verdana" w:hAnsi="Verdana"/>
          <w:i/>
          <w:iCs/>
          <w:sz w:val="20"/>
          <w:szCs w:val="20"/>
        </w:rPr>
      </w:pPr>
      <w:r w:rsidRPr="005E22A0">
        <w:rPr>
          <w:rFonts w:ascii="Verdana" w:hAnsi="Verdana"/>
          <w:i/>
          <w:iCs/>
          <w:sz w:val="20"/>
          <w:szCs w:val="20"/>
        </w:rPr>
        <w:t>- opětovnou montáž průrazky na místo instalace</w:t>
      </w:r>
    </w:p>
    <w:p w14:paraId="25047285" w14:textId="77777777" w:rsidR="00566E63" w:rsidRPr="005E22A0" w:rsidRDefault="00566E63" w:rsidP="00566E63">
      <w:pPr>
        <w:spacing w:after="0" w:line="240" w:lineRule="auto"/>
        <w:rPr>
          <w:rFonts w:ascii="Verdana" w:hAnsi="Verdana"/>
          <w:i/>
          <w:iCs/>
          <w:sz w:val="20"/>
          <w:szCs w:val="20"/>
        </w:rPr>
      </w:pPr>
      <w:r w:rsidRPr="005E22A0">
        <w:rPr>
          <w:rFonts w:ascii="Verdana" w:hAnsi="Verdana"/>
          <w:i/>
          <w:iCs/>
          <w:sz w:val="20"/>
          <w:szCs w:val="20"/>
        </w:rPr>
        <w:t>- příp. vyhotovení revizní zprávy</w:t>
      </w:r>
    </w:p>
    <w:p w14:paraId="36AA1981" w14:textId="77777777" w:rsidR="00566E63" w:rsidRPr="005E22A0" w:rsidRDefault="00566E63" w:rsidP="00566E63">
      <w:pPr>
        <w:spacing w:after="0" w:line="240" w:lineRule="auto"/>
        <w:rPr>
          <w:rFonts w:ascii="Verdana" w:hAnsi="Verdana"/>
          <w:i/>
          <w:iCs/>
          <w:sz w:val="20"/>
          <w:szCs w:val="20"/>
        </w:rPr>
      </w:pPr>
      <w:r w:rsidRPr="005E22A0">
        <w:rPr>
          <w:rFonts w:ascii="Verdana" w:hAnsi="Verdana"/>
          <w:i/>
          <w:iCs/>
          <w:sz w:val="20"/>
          <w:szCs w:val="20"/>
        </w:rPr>
        <w:t>- příp. měření dotykových napětí u trakčního stožáru</w:t>
      </w:r>
    </w:p>
    <w:p w14:paraId="36A144C1" w14:textId="77777777" w:rsidR="00566E63" w:rsidRDefault="00566E63" w:rsidP="00566E63">
      <w:pPr>
        <w:rPr>
          <w:rFonts w:ascii="Verdana" w:hAnsi="Verdana"/>
          <w:sz w:val="20"/>
          <w:szCs w:val="20"/>
        </w:rPr>
      </w:pPr>
    </w:p>
    <w:p w14:paraId="0BADC25D" w14:textId="77777777" w:rsidR="00666F57" w:rsidRPr="005E22A0" w:rsidRDefault="00666F57" w:rsidP="00566E63">
      <w:pPr>
        <w:rPr>
          <w:rFonts w:ascii="Verdana" w:hAnsi="Verdana"/>
          <w:sz w:val="20"/>
          <w:szCs w:val="20"/>
        </w:rPr>
      </w:pPr>
    </w:p>
    <w:tbl>
      <w:tblPr>
        <w:tblW w:w="8941" w:type="dxa"/>
        <w:tblInd w:w="-1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7"/>
        <w:gridCol w:w="8364"/>
      </w:tblGrid>
      <w:tr w:rsidR="00566E63" w:rsidRPr="005E22A0" w14:paraId="4FC090F4" w14:textId="77777777" w:rsidTr="00A546D2">
        <w:trPr>
          <w:trHeight w:val="53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3D76040" w14:textId="77777777" w:rsidR="00566E63" w:rsidRPr="005E22A0" w:rsidRDefault="00566E63" w:rsidP="00A546D2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5E22A0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8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89463AC" w14:textId="77777777" w:rsidR="00566E63" w:rsidRPr="005E22A0" w:rsidRDefault="00566E63" w:rsidP="00A546D2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5E22A0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Doprava průrazek na/z místa repase</w:t>
            </w:r>
          </w:p>
        </w:tc>
      </w:tr>
      <w:tr w:rsidR="00566E63" w:rsidRPr="005E22A0" w14:paraId="603B66FC" w14:textId="77777777" w:rsidTr="00A546D2">
        <w:trPr>
          <w:trHeight w:val="537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5C7D2" w14:textId="77777777" w:rsidR="00566E63" w:rsidRPr="005E22A0" w:rsidRDefault="00566E63" w:rsidP="00A546D2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5E22A0">
              <w:rPr>
                <w:rFonts w:ascii="Verdana" w:hAnsi="Verdana" w:cs="Arial"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4F7B57" w14:textId="77777777" w:rsidR="00566E63" w:rsidRPr="005E22A0" w:rsidRDefault="00566E63" w:rsidP="00A546D2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5E22A0">
              <w:rPr>
                <w:rFonts w:ascii="Verdana" w:hAnsi="Verdana" w:cs="Arial"/>
                <w:color w:val="000000"/>
                <w:sz w:val="20"/>
                <w:szCs w:val="20"/>
              </w:rPr>
              <w:t>doprava průrazek do/z místa repase</w:t>
            </w:r>
          </w:p>
        </w:tc>
      </w:tr>
      <w:tr w:rsidR="00566E63" w:rsidRPr="005E22A0" w14:paraId="54D07239" w14:textId="77777777" w:rsidTr="00A546D2">
        <w:trPr>
          <w:trHeight w:val="537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ABC18" w14:textId="77777777" w:rsidR="00566E63" w:rsidRPr="005E22A0" w:rsidRDefault="00566E63" w:rsidP="00A546D2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5E22A0">
              <w:rPr>
                <w:rFonts w:ascii="Verdana" w:hAnsi="Verdana" w:cs="Arial"/>
                <w:color w:val="000000"/>
                <w:sz w:val="20"/>
                <w:szCs w:val="20"/>
              </w:rPr>
              <w:t>3.2.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3EC9CD" w14:textId="77777777" w:rsidR="00566E63" w:rsidRPr="005E22A0" w:rsidRDefault="00566E63" w:rsidP="00A546D2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5E22A0">
              <w:rPr>
                <w:rFonts w:ascii="Verdana" w:hAnsi="Verdana" w:cs="Arial"/>
                <w:color w:val="000000"/>
                <w:sz w:val="20"/>
                <w:szCs w:val="20"/>
              </w:rPr>
              <w:t>přepravní přípravek (speciální paleta) pro uložení průrazek</w:t>
            </w:r>
          </w:p>
        </w:tc>
      </w:tr>
      <w:tr w:rsidR="00566E63" w:rsidRPr="005E22A0" w14:paraId="0AD79BCC" w14:textId="77777777" w:rsidTr="00A546D2">
        <w:trPr>
          <w:trHeight w:val="537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AC9C0" w14:textId="77777777" w:rsidR="00566E63" w:rsidRPr="005E22A0" w:rsidRDefault="00566E63" w:rsidP="00A546D2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5E22A0">
              <w:rPr>
                <w:rFonts w:ascii="Verdana" w:hAnsi="Verdana" w:cs="Arial"/>
                <w:color w:val="000000"/>
                <w:sz w:val="20"/>
                <w:szCs w:val="20"/>
              </w:rPr>
              <w:t>3.3.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DAAACF" w14:textId="77777777" w:rsidR="00566E63" w:rsidRPr="005E22A0" w:rsidRDefault="00566E63" w:rsidP="00A546D2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5E22A0">
              <w:rPr>
                <w:rFonts w:ascii="Verdana" w:hAnsi="Verdana" w:cs="Arial"/>
                <w:color w:val="000000"/>
                <w:sz w:val="20"/>
                <w:szCs w:val="20"/>
              </w:rPr>
              <w:t>převoz minimálního počtu kusů 100ks</w:t>
            </w:r>
          </w:p>
        </w:tc>
      </w:tr>
    </w:tbl>
    <w:p w14:paraId="0C80975C" w14:textId="77777777" w:rsidR="00566E63" w:rsidRPr="005E22A0" w:rsidRDefault="00566E63" w:rsidP="00566E63">
      <w:pPr>
        <w:spacing w:after="0" w:line="240" w:lineRule="auto"/>
        <w:rPr>
          <w:rFonts w:ascii="Verdana" w:hAnsi="Verdana"/>
          <w:i/>
          <w:iCs/>
          <w:sz w:val="20"/>
          <w:szCs w:val="20"/>
          <w:u w:val="single"/>
        </w:rPr>
      </w:pPr>
      <w:r w:rsidRPr="005E22A0">
        <w:rPr>
          <w:rFonts w:ascii="Verdana" w:hAnsi="Verdana"/>
          <w:i/>
          <w:iCs/>
          <w:sz w:val="20"/>
          <w:szCs w:val="20"/>
          <w:u w:val="single"/>
        </w:rPr>
        <w:t>Výše uvedené položky neobsahují:</w:t>
      </w:r>
    </w:p>
    <w:p w14:paraId="3C3B6B61" w14:textId="7CE1E164" w:rsidR="00566E63" w:rsidRPr="005E22A0" w:rsidRDefault="00566E63" w:rsidP="00566E63">
      <w:pPr>
        <w:spacing w:after="0" w:line="240" w:lineRule="auto"/>
        <w:rPr>
          <w:rFonts w:ascii="Verdana" w:hAnsi="Verdana"/>
          <w:i/>
          <w:iCs/>
          <w:sz w:val="20"/>
          <w:szCs w:val="20"/>
        </w:rPr>
      </w:pPr>
      <w:r w:rsidRPr="005E22A0">
        <w:rPr>
          <w:rFonts w:ascii="Verdana" w:hAnsi="Verdana"/>
          <w:i/>
          <w:iCs/>
          <w:sz w:val="20"/>
          <w:szCs w:val="20"/>
        </w:rPr>
        <w:t>- uložení průrazek na přepravní paletu</w:t>
      </w:r>
      <w:r w:rsidR="003261F5">
        <w:rPr>
          <w:rFonts w:ascii="Verdana" w:hAnsi="Verdana"/>
          <w:i/>
          <w:iCs/>
          <w:sz w:val="20"/>
          <w:szCs w:val="20"/>
        </w:rPr>
        <w:t xml:space="preserve"> pro zahájení služby/</w:t>
      </w:r>
      <w:r w:rsidR="003261F5">
        <w:rPr>
          <w:rFonts w:ascii="Verdana" w:hAnsi="Verdana"/>
          <w:i/>
          <w:iCs/>
          <w:sz w:val="20"/>
          <w:szCs w:val="20"/>
        </w:rPr>
        <w:t>vyložení průrazek z přepravní palety</w:t>
      </w:r>
      <w:r w:rsidR="003261F5">
        <w:rPr>
          <w:rFonts w:ascii="Verdana" w:hAnsi="Verdana"/>
          <w:i/>
          <w:iCs/>
          <w:sz w:val="20"/>
          <w:szCs w:val="20"/>
        </w:rPr>
        <w:t xml:space="preserve"> po dokončení služby</w:t>
      </w:r>
    </w:p>
    <w:p w14:paraId="4E93429A" w14:textId="77777777" w:rsidR="00566E63" w:rsidRPr="005E22A0" w:rsidRDefault="00566E63" w:rsidP="00566E63">
      <w:pPr>
        <w:rPr>
          <w:rFonts w:ascii="Verdana" w:hAnsi="Verdana"/>
          <w:sz w:val="20"/>
          <w:szCs w:val="20"/>
        </w:rPr>
      </w:pPr>
    </w:p>
    <w:tbl>
      <w:tblPr>
        <w:tblW w:w="8941" w:type="dxa"/>
        <w:tblInd w:w="-1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7"/>
        <w:gridCol w:w="6096"/>
        <w:gridCol w:w="2268"/>
      </w:tblGrid>
      <w:tr w:rsidR="00566E63" w:rsidRPr="005E22A0" w14:paraId="683F5769" w14:textId="77777777" w:rsidTr="00A546D2">
        <w:trPr>
          <w:trHeight w:val="53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6EEA09" w14:textId="77777777" w:rsidR="00566E63" w:rsidRPr="005E22A0" w:rsidRDefault="00566E63" w:rsidP="00A546D2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5E22A0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1517CF" w14:textId="77777777" w:rsidR="00566E63" w:rsidRPr="005E22A0" w:rsidRDefault="00566E63" w:rsidP="00A546D2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5E22A0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Záruka</w:t>
            </w:r>
          </w:p>
        </w:tc>
      </w:tr>
      <w:tr w:rsidR="00566E63" w:rsidRPr="005E22A0" w14:paraId="7D5AADC1" w14:textId="77777777" w:rsidTr="00A546D2">
        <w:trPr>
          <w:trHeight w:val="53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9479C" w14:textId="77777777" w:rsidR="00566E63" w:rsidRPr="005E22A0" w:rsidRDefault="00566E63" w:rsidP="00A546D2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5E22A0">
              <w:rPr>
                <w:rFonts w:ascii="Verdana" w:hAnsi="Verdana" w:cs="Arial"/>
                <w:color w:val="000000"/>
                <w:sz w:val="20"/>
                <w:szCs w:val="20"/>
              </w:rPr>
              <w:t>4.1.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0D1E2A" w14:textId="77777777" w:rsidR="00566E63" w:rsidRPr="005E22A0" w:rsidRDefault="00566E63" w:rsidP="00A546D2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5E22A0">
              <w:rPr>
                <w:rFonts w:ascii="Verdana" w:hAnsi="Verdana" w:cs="Arial"/>
                <w:color w:val="000000"/>
                <w:sz w:val="20"/>
                <w:szCs w:val="20"/>
              </w:rPr>
              <w:t>požadovaná záruční doba (minimální) na bod 1.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4AF9B6" w14:textId="77777777" w:rsidR="00566E63" w:rsidRPr="005E22A0" w:rsidRDefault="00566E63" w:rsidP="00A546D2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5E22A0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min. 1 rok</w:t>
            </w:r>
          </w:p>
        </w:tc>
      </w:tr>
      <w:tr w:rsidR="00566E63" w:rsidRPr="005E22A0" w14:paraId="7A935EBE" w14:textId="77777777" w:rsidTr="00A546D2">
        <w:trPr>
          <w:trHeight w:val="53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8C1DF" w14:textId="77777777" w:rsidR="00566E63" w:rsidRPr="005E22A0" w:rsidRDefault="00566E63" w:rsidP="00A546D2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5E22A0">
              <w:rPr>
                <w:rFonts w:ascii="Verdana" w:hAnsi="Verdana" w:cs="Arial"/>
                <w:color w:val="000000"/>
                <w:sz w:val="20"/>
                <w:szCs w:val="20"/>
              </w:rPr>
              <w:t>4.2.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C24C20" w14:textId="77777777" w:rsidR="00566E63" w:rsidRPr="005E22A0" w:rsidRDefault="00566E63" w:rsidP="00A546D2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5E22A0">
              <w:rPr>
                <w:rFonts w:ascii="Verdana" w:hAnsi="Verdana" w:cs="Arial"/>
                <w:color w:val="000000"/>
                <w:sz w:val="20"/>
                <w:szCs w:val="20"/>
              </w:rPr>
              <w:t>požadovaná záruční doba (minimální) na bod 2.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EF1F60" w14:textId="77777777" w:rsidR="00566E63" w:rsidRPr="005E22A0" w:rsidRDefault="00566E63" w:rsidP="00A546D2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5E22A0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min. 2 roky</w:t>
            </w:r>
          </w:p>
        </w:tc>
      </w:tr>
    </w:tbl>
    <w:p w14:paraId="096E3047" w14:textId="77777777" w:rsidR="00566E63" w:rsidRPr="00566E63" w:rsidRDefault="00566E63" w:rsidP="00566E63"/>
    <w:p w14:paraId="7611BAB6" w14:textId="24061E63" w:rsidR="00C41C3D" w:rsidRPr="00F075AD" w:rsidRDefault="00C41C3D" w:rsidP="00F40C71">
      <w:pPr>
        <w:pStyle w:val="Nadpis3"/>
      </w:pPr>
      <w:bookmarkStart w:id="11" w:name="_Toc294526502"/>
      <w:bookmarkStart w:id="12" w:name="_Toc309202250"/>
      <w:bookmarkStart w:id="13" w:name="_Toc384209034"/>
      <w:bookmarkStart w:id="14" w:name="_Toc52269507"/>
      <w:bookmarkStart w:id="15" w:name="_Toc205991256"/>
      <w:bookmarkEnd w:id="7"/>
      <w:bookmarkEnd w:id="8"/>
      <w:bookmarkEnd w:id="9"/>
      <w:bookmarkEnd w:id="10"/>
      <w:r w:rsidRPr="00F075AD">
        <w:t>Kvalifikační požadavky</w:t>
      </w:r>
      <w:bookmarkEnd w:id="11"/>
      <w:bookmarkEnd w:id="12"/>
      <w:bookmarkEnd w:id="13"/>
      <w:bookmarkEnd w:id="14"/>
      <w:bookmarkEnd w:id="15"/>
    </w:p>
    <w:p w14:paraId="65BEB50E" w14:textId="270A2D8A" w:rsidR="00F40C71" w:rsidRDefault="00FA7957" w:rsidP="00C41C3D">
      <w:pPr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 xml:space="preserve">Průrazka musí </w:t>
      </w:r>
      <w:r w:rsidR="00566E63">
        <w:rPr>
          <w:rFonts w:asciiTheme="majorHAnsi" w:hAnsiTheme="majorHAnsi"/>
          <w:sz w:val="20"/>
        </w:rPr>
        <w:t>po provedené repasi splňovat všechny původní parametry dle schváleného typu.</w:t>
      </w:r>
    </w:p>
    <w:sectPr w:rsidR="00F40C71" w:rsidSect="007D3825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E646D8" w14:textId="77777777" w:rsidR="00576779" w:rsidRDefault="00576779" w:rsidP="00962258">
      <w:pPr>
        <w:spacing w:after="0" w:line="240" w:lineRule="auto"/>
      </w:pPr>
      <w:r>
        <w:separator/>
      </w:r>
    </w:p>
  </w:endnote>
  <w:endnote w:type="continuationSeparator" w:id="0">
    <w:p w14:paraId="164A5D3C" w14:textId="77777777" w:rsidR="00576779" w:rsidRDefault="0057677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6956D6" w14:paraId="32BEA86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69B03E4" w14:textId="77777777" w:rsidR="006956D6" w:rsidRPr="00B8518B" w:rsidRDefault="006956D6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fldSimple w:instr=" NUMPAGES   \* MERGEFORMAT ">
            <w:r w:rsidRPr="001E4EFC">
              <w:rPr>
                <w:rStyle w:val="slostrnky"/>
                <w:noProof/>
              </w:rPr>
              <w:t>13</w:t>
            </w:r>
          </w:fldSimple>
        </w:p>
      </w:tc>
      <w:tc>
        <w:tcPr>
          <w:tcW w:w="3458" w:type="dxa"/>
          <w:tcMar>
            <w:left w:w="0" w:type="dxa"/>
            <w:right w:w="0" w:type="dxa"/>
          </w:tcMar>
        </w:tcPr>
        <w:p w14:paraId="03F107E4" w14:textId="77777777" w:rsidR="006956D6" w:rsidRDefault="006956D6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0C862EF" w14:textId="77777777" w:rsidR="006956D6" w:rsidRDefault="006956D6" w:rsidP="00B8518B">
          <w:pPr>
            <w:pStyle w:val="Zpat"/>
          </w:pPr>
        </w:p>
      </w:tc>
      <w:tc>
        <w:tcPr>
          <w:tcW w:w="2921" w:type="dxa"/>
        </w:tcPr>
        <w:p w14:paraId="32885200" w14:textId="77777777" w:rsidR="006956D6" w:rsidRDefault="006956D6" w:rsidP="00D831A3">
          <w:pPr>
            <w:pStyle w:val="Zpat"/>
          </w:pPr>
        </w:p>
      </w:tc>
    </w:tr>
  </w:tbl>
  <w:p w14:paraId="574F98E3" w14:textId="5EED87B6" w:rsidR="006956D6" w:rsidRPr="00B8518B" w:rsidRDefault="00131A3F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4294967295" distB="4294967295" distL="114300" distR="114300" simplePos="0" relativeHeight="251662336" behindDoc="1" locked="1" layoutInCell="1" allowOverlap="1" wp14:anchorId="777A6DE1" wp14:editId="7A63BA43">
              <wp:simplePos x="0" y="0"/>
              <wp:positionH relativeFrom="page">
                <wp:posOffset>431800</wp:posOffset>
              </wp:positionH>
              <wp:positionV relativeFrom="page">
                <wp:posOffset>7129144</wp:posOffset>
              </wp:positionV>
              <wp:extent cx="179705" cy="0"/>
              <wp:effectExtent l="0" t="0" r="0" b="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AF4C352" id="Straight Connector 3" o:spid="_x0000_s1026" style="position:absolute;z-index:-25165414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4294967295" distB="4294967295" distL="114300" distR="114300" simplePos="0" relativeHeight="251660288" behindDoc="1" locked="1" layoutInCell="1" allowOverlap="1" wp14:anchorId="2ED6415B" wp14:editId="0E907084">
              <wp:simplePos x="0" y="0"/>
              <wp:positionH relativeFrom="page">
                <wp:posOffset>431800</wp:posOffset>
              </wp:positionH>
              <wp:positionV relativeFrom="page">
                <wp:posOffset>3564254</wp:posOffset>
              </wp:positionV>
              <wp:extent cx="179705" cy="0"/>
              <wp:effectExtent l="0" t="0" r="0" b="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8436AE" id="Straight Connector 2" o:spid="_x0000_s1026" style="position:absolute;z-index:-25165619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6956D6" w14:paraId="20F8FDBE" w14:textId="77777777" w:rsidTr="00C41C3D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28A9CD" w14:textId="77777777" w:rsidR="006956D6" w:rsidRPr="00B8518B" w:rsidRDefault="006956D6" w:rsidP="00C41C3D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fldSimple w:instr=" NUMPAGES   \* MERGEFORMAT ">
            <w:r w:rsidRPr="001E4EFC">
              <w:rPr>
                <w:rStyle w:val="slostrnky"/>
                <w:noProof/>
              </w:rPr>
              <w:t>13</w:t>
            </w:r>
          </w:fldSimple>
        </w:p>
      </w:tc>
      <w:tc>
        <w:tcPr>
          <w:tcW w:w="3458" w:type="dxa"/>
          <w:tcMar>
            <w:left w:w="0" w:type="dxa"/>
            <w:right w:w="0" w:type="dxa"/>
          </w:tcMar>
        </w:tcPr>
        <w:p w14:paraId="45070147" w14:textId="77777777" w:rsidR="006956D6" w:rsidRDefault="006956D6" w:rsidP="00C41C3D">
          <w:pPr>
            <w:pStyle w:val="Zpat"/>
          </w:pPr>
          <w:r>
            <w:t>Správa železnic, státní organizace</w:t>
          </w:r>
        </w:p>
        <w:p w14:paraId="38C8D889" w14:textId="77777777" w:rsidR="006956D6" w:rsidRDefault="006956D6" w:rsidP="00C41C3D">
          <w:pPr>
            <w:pStyle w:val="Zpat"/>
          </w:pPr>
          <w:r>
            <w:t xml:space="preserve">zapsána v obchodním rejstříku vedeném Městským </w:t>
          </w:r>
        </w:p>
        <w:p w14:paraId="0C27CE26" w14:textId="77777777" w:rsidR="006956D6" w:rsidRDefault="006956D6" w:rsidP="00C41C3D">
          <w:pPr>
            <w:pStyle w:val="Zpat"/>
          </w:pPr>
          <w:r>
            <w:t>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6E1C3B21" w14:textId="77777777" w:rsidR="006956D6" w:rsidRDefault="006956D6" w:rsidP="00C41C3D">
          <w:pPr>
            <w:pStyle w:val="Zpat"/>
          </w:pPr>
          <w:r>
            <w:t>Sídlo: Dlážděná 1003/7, 110 00 Praha 1</w:t>
          </w:r>
        </w:p>
        <w:p w14:paraId="4C154B16" w14:textId="77777777" w:rsidR="006956D6" w:rsidRDefault="006956D6" w:rsidP="00C41C3D">
          <w:pPr>
            <w:pStyle w:val="Zpat"/>
          </w:pPr>
          <w:r>
            <w:t>IČO: 709 94 234 DIČ: CZ 709 94 234</w:t>
          </w:r>
        </w:p>
        <w:p w14:paraId="67EE6C9F" w14:textId="77777777" w:rsidR="006956D6" w:rsidRDefault="006956D6" w:rsidP="00DC2469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14:paraId="40CA039A" w14:textId="77777777" w:rsidR="006956D6" w:rsidRDefault="006956D6" w:rsidP="00C41C3D">
          <w:pPr>
            <w:pStyle w:val="Zpat"/>
          </w:pPr>
        </w:p>
      </w:tc>
    </w:tr>
  </w:tbl>
  <w:p w14:paraId="0B2B30DA" w14:textId="310E0CA5" w:rsidR="006956D6" w:rsidRPr="00B8518B" w:rsidRDefault="00131A3F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4294967295" distB="4294967295" distL="114300" distR="114300" simplePos="0" relativeHeight="251671552" behindDoc="1" locked="1" layoutInCell="1" allowOverlap="1" wp14:anchorId="7281582B" wp14:editId="2C0AAFFB">
              <wp:simplePos x="0" y="0"/>
              <wp:positionH relativeFrom="page">
                <wp:posOffset>431800</wp:posOffset>
              </wp:positionH>
              <wp:positionV relativeFrom="page">
                <wp:posOffset>7129144</wp:posOffset>
              </wp:positionV>
              <wp:extent cx="179705" cy="0"/>
              <wp:effectExtent l="0" t="0" r="0" b="0"/>
              <wp:wrapNone/>
              <wp:docPr id="7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4DC6FA5" id="Straight Connector 7" o:spid="_x0000_s1026" style="position:absolute;z-index:-25164492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4294967295" distB="4294967295" distL="114300" distR="114300" simplePos="0" relativeHeight="251670528" behindDoc="1" locked="1" layoutInCell="1" allowOverlap="1" wp14:anchorId="67206DA5" wp14:editId="57777607">
              <wp:simplePos x="0" y="0"/>
              <wp:positionH relativeFrom="page">
                <wp:posOffset>431800</wp:posOffset>
              </wp:positionH>
              <wp:positionV relativeFrom="page">
                <wp:posOffset>3564254</wp:posOffset>
              </wp:positionV>
              <wp:extent cx="179705" cy="0"/>
              <wp:effectExtent l="0" t="0" r="0" b="0"/>
              <wp:wrapNone/>
              <wp:docPr id="10" name="Straight Connector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03BE8E" id="Straight Connector 10" o:spid="_x0000_s1026" style="position:absolute;z-index:-25164595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</w:p>
  <w:p w14:paraId="12FDD1F9" w14:textId="77777777" w:rsidR="006956D6" w:rsidRPr="00460660" w:rsidRDefault="006956D6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2145AB" w14:textId="77777777" w:rsidR="00576779" w:rsidRDefault="00576779" w:rsidP="00962258">
      <w:pPr>
        <w:spacing w:after="0" w:line="240" w:lineRule="auto"/>
      </w:pPr>
      <w:r>
        <w:separator/>
      </w:r>
    </w:p>
  </w:footnote>
  <w:footnote w:type="continuationSeparator" w:id="0">
    <w:p w14:paraId="468DF869" w14:textId="77777777" w:rsidR="00576779" w:rsidRDefault="0057677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581EDD" w14:textId="77777777" w:rsidR="00985C93" w:rsidRDefault="00985C9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6956D6" w14:paraId="655A480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9642297" w14:textId="77777777" w:rsidR="006956D6" w:rsidRPr="00B8518B" w:rsidRDefault="006956D6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418FE16F" w14:textId="77777777" w:rsidR="006956D6" w:rsidRDefault="006956D6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47C82C5A" w14:textId="77777777" w:rsidR="006956D6" w:rsidRPr="00D6163D" w:rsidRDefault="006956D6" w:rsidP="00D6163D">
          <w:pPr>
            <w:pStyle w:val="Druhdokumentu"/>
          </w:pPr>
        </w:p>
      </w:tc>
    </w:tr>
  </w:tbl>
  <w:p w14:paraId="538AB58C" w14:textId="77777777" w:rsidR="006956D6" w:rsidRPr="00D6163D" w:rsidRDefault="006956D6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6956D6" w14:paraId="4C3481A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B4A832B" w14:textId="77777777" w:rsidR="006956D6" w:rsidRPr="00B8518B" w:rsidRDefault="006956D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6496E3BB" w14:textId="77777777" w:rsidR="006956D6" w:rsidRDefault="006956D6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0BAB7858" w14:textId="77777777" w:rsidR="006956D6" w:rsidRPr="00D6163D" w:rsidRDefault="006956D6" w:rsidP="00FC6389">
          <w:pPr>
            <w:pStyle w:val="Druhdokumentu"/>
          </w:pPr>
        </w:p>
      </w:tc>
    </w:tr>
    <w:tr w:rsidR="006956D6" w14:paraId="723DC878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155F2B5B" w14:textId="77777777" w:rsidR="006956D6" w:rsidRPr="00B8518B" w:rsidRDefault="006956D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7F0EF84E" w14:textId="77777777" w:rsidR="006956D6" w:rsidRDefault="006956D6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7C58B5A7" w14:textId="77777777" w:rsidR="006956D6" w:rsidRDefault="006956D6" w:rsidP="00FC6389">
          <w:pPr>
            <w:pStyle w:val="Druhdokumentu"/>
            <w:rPr>
              <w:noProof/>
            </w:rPr>
          </w:pPr>
        </w:p>
      </w:tc>
    </w:tr>
  </w:tbl>
  <w:p w14:paraId="474086B9" w14:textId="77777777" w:rsidR="006956D6" w:rsidRPr="00D6163D" w:rsidRDefault="006956D6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73600" behindDoc="0" locked="1" layoutInCell="1" allowOverlap="1" wp14:anchorId="6C961A32" wp14:editId="5577DDB5">
          <wp:simplePos x="0" y="0"/>
          <wp:positionH relativeFrom="page">
            <wp:posOffset>431165</wp:posOffset>
          </wp:positionH>
          <wp:positionV relativeFrom="page">
            <wp:posOffset>386715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17D4D0A" w14:textId="77777777" w:rsidR="006956D6" w:rsidRPr="00460660" w:rsidRDefault="006956D6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B53B1"/>
    <w:multiLevelType w:val="hybridMultilevel"/>
    <w:tmpl w:val="CA906A10"/>
    <w:lvl w:ilvl="0" w:tplc="424A754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F456B"/>
    <w:multiLevelType w:val="hybridMultilevel"/>
    <w:tmpl w:val="DF624F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B382585"/>
    <w:multiLevelType w:val="hybridMultilevel"/>
    <w:tmpl w:val="A3C2F888"/>
    <w:lvl w:ilvl="0" w:tplc="D4D69D64">
      <w:start w:val="4"/>
      <w:numFmt w:val="bullet"/>
      <w:lvlText w:val="-"/>
      <w:lvlJc w:val="left"/>
      <w:pPr>
        <w:ind w:left="1778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4" w15:restartNumberingAfterBreak="0">
    <w:nsid w:val="0FD50F04"/>
    <w:multiLevelType w:val="hybridMultilevel"/>
    <w:tmpl w:val="F5F8D65E"/>
    <w:lvl w:ilvl="0" w:tplc="06381140">
      <w:start w:val="1"/>
      <w:numFmt w:val="bullet"/>
      <w:lvlText w:val="-"/>
      <w:lvlJc w:val="left"/>
      <w:pPr>
        <w:ind w:left="1065" w:hanging="705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A62822"/>
    <w:multiLevelType w:val="hybridMultilevel"/>
    <w:tmpl w:val="AEC07AC6"/>
    <w:lvl w:ilvl="0" w:tplc="208E726A">
      <w:numFmt w:val="bullet"/>
      <w:lvlText w:val="-"/>
      <w:lvlJc w:val="left"/>
      <w:pPr>
        <w:ind w:left="720" w:hanging="360"/>
      </w:pPr>
      <w:rPr>
        <w:rFonts w:ascii="Verdana" w:eastAsia="Verdana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1B8F061D"/>
    <w:multiLevelType w:val="hybridMultilevel"/>
    <w:tmpl w:val="39B42D04"/>
    <w:lvl w:ilvl="0" w:tplc="5CDCE0B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3F7E96"/>
    <w:multiLevelType w:val="hybridMultilevel"/>
    <w:tmpl w:val="6B82B2B6"/>
    <w:lvl w:ilvl="0" w:tplc="0EB4614E">
      <w:start w:val="2"/>
      <w:numFmt w:val="bullet"/>
      <w:lvlText w:val="-"/>
      <w:lvlJc w:val="left"/>
      <w:pPr>
        <w:ind w:left="1069" w:hanging="360"/>
      </w:pPr>
      <w:rPr>
        <w:rFonts w:ascii="Verdana" w:eastAsiaTheme="minorHAns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22CF04E7"/>
    <w:multiLevelType w:val="hybridMultilevel"/>
    <w:tmpl w:val="A7923B22"/>
    <w:lvl w:ilvl="0" w:tplc="424A75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7E1652"/>
    <w:multiLevelType w:val="hybridMultilevel"/>
    <w:tmpl w:val="17BA99A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BF76403"/>
    <w:multiLevelType w:val="multilevel"/>
    <w:tmpl w:val="0D34D660"/>
    <w:numStyleLink w:val="ListBulletmultilevel"/>
  </w:abstractNum>
  <w:abstractNum w:abstractNumId="12" w15:restartNumberingAfterBreak="0">
    <w:nsid w:val="339052A8"/>
    <w:multiLevelType w:val="hybridMultilevel"/>
    <w:tmpl w:val="6E62368C"/>
    <w:lvl w:ilvl="0" w:tplc="B8B206BE">
      <w:numFmt w:val="bullet"/>
      <w:lvlText w:val="-"/>
      <w:lvlJc w:val="left"/>
      <w:pPr>
        <w:tabs>
          <w:tab w:val="num" w:pos="3555"/>
        </w:tabs>
        <w:ind w:left="3555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875"/>
        </w:tabs>
        <w:ind w:left="78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8595"/>
        </w:tabs>
        <w:ind w:left="85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9315"/>
        </w:tabs>
        <w:ind w:left="9315" w:hanging="360"/>
      </w:pPr>
      <w:rPr>
        <w:rFonts w:ascii="Wingdings" w:hAnsi="Wingdings" w:hint="default"/>
      </w:rPr>
    </w:lvl>
  </w:abstractNum>
  <w:abstractNum w:abstractNumId="13" w15:restartNumberingAfterBreak="0">
    <w:nsid w:val="38F42822"/>
    <w:multiLevelType w:val="hybridMultilevel"/>
    <w:tmpl w:val="BF50E3B6"/>
    <w:lvl w:ilvl="0" w:tplc="240C61DC">
      <w:start w:val="1"/>
      <w:numFmt w:val="bullet"/>
      <w:lvlText w:val="-"/>
      <w:lvlJc w:val="left"/>
      <w:pPr>
        <w:ind w:left="1065" w:hanging="705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F93836"/>
    <w:multiLevelType w:val="hybridMultilevel"/>
    <w:tmpl w:val="43B622CA"/>
    <w:lvl w:ilvl="0" w:tplc="06381140">
      <w:start w:val="1"/>
      <w:numFmt w:val="bullet"/>
      <w:lvlText w:val="-"/>
      <w:lvlJc w:val="left"/>
      <w:pPr>
        <w:ind w:left="1065" w:hanging="705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755AAC"/>
    <w:multiLevelType w:val="hybridMultilevel"/>
    <w:tmpl w:val="C870FA3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457842"/>
    <w:multiLevelType w:val="hybridMultilevel"/>
    <w:tmpl w:val="E5E8BB8E"/>
    <w:lvl w:ilvl="0" w:tplc="06381140">
      <w:start w:val="1"/>
      <w:numFmt w:val="bullet"/>
      <w:lvlText w:val="-"/>
      <w:lvlJc w:val="left"/>
      <w:pPr>
        <w:ind w:left="1065" w:hanging="705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A4271F"/>
    <w:multiLevelType w:val="hybridMultilevel"/>
    <w:tmpl w:val="308605FC"/>
    <w:lvl w:ilvl="0" w:tplc="239C5C6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D649AC"/>
    <w:multiLevelType w:val="hybridMultilevel"/>
    <w:tmpl w:val="120A4C24"/>
    <w:lvl w:ilvl="0" w:tplc="D4D69D6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2C775A"/>
    <w:multiLevelType w:val="hybridMultilevel"/>
    <w:tmpl w:val="FCF27C64"/>
    <w:lvl w:ilvl="0" w:tplc="424A75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F40049"/>
    <w:multiLevelType w:val="hybridMultilevel"/>
    <w:tmpl w:val="82F67C2C"/>
    <w:lvl w:ilvl="0" w:tplc="06381140">
      <w:start w:val="1"/>
      <w:numFmt w:val="bullet"/>
      <w:lvlText w:val="-"/>
      <w:lvlJc w:val="left"/>
      <w:pPr>
        <w:ind w:left="1065" w:hanging="705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0041F9"/>
    <w:multiLevelType w:val="hybridMultilevel"/>
    <w:tmpl w:val="7A4E7BDE"/>
    <w:lvl w:ilvl="0" w:tplc="26C8238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6E274F"/>
    <w:multiLevelType w:val="hybridMultilevel"/>
    <w:tmpl w:val="A7B672E6"/>
    <w:lvl w:ilvl="0" w:tplc="06381140">
      <w:start w:val="1"/>
      <w:numFmt w:val="bullet"/>
      <w:lvlText w:val="-"/>
      <w:lvlJc w:val="left"/>
      <w:pPr>
        <w:ind w:left="1065" w:hanging="705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070991"/>
    <w:multiLevelType w:val="multilevel"/>
    <w:tmpl w:val="CABE99FC"/>
    <w:numStyleLink w:val="ListNumbermultilevel"/>
  </w:abstractNum>
  <w:abstractNum w:abstractNumId="24" w15:restartNumberingAfterBreak="0">
    <w:nsid w:val="7CCA15A4"/>
    <w:multiLevelType w:val="hybridMultilevel"/>
    <w:tmpl w:val="DDE66526"/>
    <w:lvl w:ilvl="0" w:tplc="CE66D09E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32792122">
    <w:abstractNumId w:val="6"/>
  </w:num>
  <w:num w:numId="2" w16cid:durableId="2067141489">
    <w:abstractNumId w:val="2"/>
  </w:num>
  <w:num w:numId="3" w16cid:durableId="1429807963">
    <w:abstractNumId w:val="11"/>
  </w:num>
  <w:num w:numId="4" w16cid:durableId="1118456044">
    <w:abstractNumId w:val="23"/>
  </w:num>
  <w:num w:numId="5" w16cid:durableId="675426185">
    <w:abstractNumId w:val="9"/>
  </w:num>
  <w:num w:numId="6" w16cid:durableId="182978924">
    <w:abstractNumId w:val="19"/>
  </w:num>
  <w:num w:numId="7" w16cid:durableId="407464591">
    <w:abstractNumId w:val="13"/>
  </w:num>
  <w:num w:numId="8" w16cid:durableId="485324993">
    <w:abstractNumId w:val="14"/>
  </w:num>
  <w:num w:numId="9" w16cid:durableId="658577475">
    <w:abstractNumId w:val="16"/>
  </w:num>
  <w:num w:numId="10" w16cid:durableId="1422724829">
    <w:abstractNumId w:val="4"/>
  </w:num>
  <w:num w:numId="11" w16cid:durableId="1261181419">
    <w:abstractNumId w:val="22"/>
  </w:num>
  <w:num w:numId="12" w16cid:durableId="1617907888">
    <w:abstractNumId w:val="20"/>
  </w:num>
  <w:num w:numId="13" w16cid:durableId="319775133">
    <w:abstractNumId w:val="1"/>
  </w:num>
  <w:num w:numId="14" w16cid:durableId="1097558526">
    <w:abstractNumId w:val="12"/>
  </w:num>
  <w:num w:numId="15" w16cid:durableId="1835604372">
    <w:abstractNumId w:val="18"/>
  </w:num>
  <w:num w:numId="16" w16cid:durableId="419719603">
    <w:abstractNumId w:val="24"/>
  </w:num>
  <w:num w:numId="17" w16cid:durableId="191767493">
    <w:abstractNumId w:val="17"/>
  </w:num>
  <w:num w:numId="18" w16cid:durableId="1559972366">
    <w:abstractNumId w:val="0"/>
  </w:num>
  <w:num w:numId="19" w16cid:durableId="81699944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7797441">
    <w:abstractNumId w:val="3"/>
  </w:num>
  <w:num w:numId="21" w16cid:durableId="2096247050">
    <w:abstractNumId w:val="5"/>
  </w:num>
  <w:num w:numId="22" w16cid:durableId="1856772801">
    <w:abstractNumId w:val="21"/>
  </w:num>
  <w:num w:numId="23" w16cid:durableId="626356155">
    <w:abstractNumId w:val="7"/>
  </w:num>
  <w:num w:numId="24" w16cid:durableId="1521775477">
    <w:abstractNumId w:val="10"/>
  </w:num>
  <w:num w:numId="25" w16cid:durableId="1649819220">
    <w:abstractNumId w:val="15"/>
  </w:num>
  <w:num w:numId="26" w16cid:durableId="1243567823">
    <w:abstractNumId w:va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5FF"/>
    <w:rsid w:val="000004F9"/>
    <w:rsid w:val="00006E41"/>
    <w:rsid w:val="00015EAB"/>
    <w:rsid w:val="00026191"/>
    <w:rsid w:val="0003011E"/>
    <w:rsid w:val="00033432"/>
    <w:rsid w:val="000335CC"/>
    <w:rsid w:val="00035A5B"/>
    <w:rsid w:val="00053A9A"/>
    <w:rsid w:val="00054F2E"/>
    <w:rsid w:val="00060B04"/>
    <w:rsid w:val="00066EEA"/>
    <w:rsid w:val="00072C1E"/>
    <w:rsid w:val="000854FE"/>
    <w:rsid w:val="000867F1"/>
    <w:rsid w:val="0009192B"/>
    <w:rsid w:val="000A0F5F"/>
    <w:rsid w:val="000B34F9"/>
    <w:rsid w:val="000B7907"/>
    <w:rsid w:val="000C0429"/>
    <w:rsid w:val="000C1654"/>
    <w:rsid w:val="000C2792"/>
    <w:rsid w:val="000E4A09"/>
    <w:rsid w:val="000F2ECC"/>
    <w:rsid w:val="001044A9"/>
    <w:rsid w:val="00112BAF"/>
    <w:rsid w:val="00114472"/>
    <w:rsid w:val="001208BA"/>
    <w:rsid w:val="00122311"/>
    <w:rsid w:val="001313AF"/>
    <w:rsid w:val="00131A3F"/>
    <w:rsid w:val="00146DDA"/>
    <w:rsid w:val="00155FDA"/>
    <w:rsid w:val="00170EC5"/>
    <w:rsid w:val="00173E45"/>
    <w:rsid w:val="001747C1"/>
    <w:rsid w:val="001759E1"/>
    <w:rsid w:val="0017614E"/>
    <w:rsid w:val="0018596A"/>
    <w:rsid w:val="00190284"/>
    <w:rsid w:val="00197184"/>
    <w:rsid w:val="001A7844"/>
    <w:rsid w:val="001B3DBC"/>
    <w:rsid w:val="001B4776"/>
    <w:rsid w:val="001C4DA0"/>
    <w:rsid w:val="001C522F"/>
    <w:rsid w:val="001C6256"/>
    <w:rsid w:val="001D29A0"/>
    <w:rsid w:val="001E4EFC"/>
    <w:rsid w:val="001F4244"/>
    <w:rsid w:val="0020190F"/>
    <w:rsid w:val="00202FD1"/>
    <w:rsid w:val="00207DF5"/>
    <w:rsid w:val="002160AB"/>
    <w:rsid w:val="00223A22"/>
    <w:rsid w:val="00231049"/>
    <w:rsid w:val="002327E2"/>
    <w:rsid w:val="002328FE"/>
    <w:rsid w:val="00237DC7"/>
    <w:rsid w:val="002475B0"/>
    <w:rsid w:val="00254FE9"/>
    <w:rsid w:val="00260447"/>
    <w:rsid w:val="0026785D"/>
    <w:rsid w:val="002718B4"/>
    <w:rsid w:val="002736EC"/>
    <w:rsid w:val="002770AD"/>
    <w:rsid w:val="00283276"/>
    <w:rsid w:val="00285E1B"/>
    <w:rsid w:val="00290F79"/>
    <w:rsid w:val="002B1D29"/>
    <w:rsid w:val="002C31BF"/>
    <w:rsid w:val="002C5ED9"/>
    <w:rsid w:val="002E0CD7"/>
    <w:rsid w:val="002F026B"/>
    <w:rsid w:val="00307406"/>
    <w:rsid w:val="00314EED"/>
    <w:rsid w:val="003261F5"/>
    <w:rsid w:val="00336B48"/>
    <w:rsid w:val="00337CFE"/>
    <w:rsid w:val="00341000"/>
    <w:rsid w:val="00345426"/>
    <w:rsid w:val="00357BC6"/>
    <w:rsid w:val="00362712"/>
    <w:rsid w:val="00375B27"/>
    <w:rsid w:val="00387949"/>
    <w:rsid w:val="003956C6"/>
    <w:rsid w:val="00397A0C"/>
    <w:rsid w:val="003C400B"/>
    <w:rsid w:val="003C5DC8"/>
    <w:rsid w:val="003D2D62"/>
    <w:rsid w:val="003E75CE"/>
    <w:rsid w:val="003F2076"/>
    <w:rsid w:val="003F56F5"/>
    <w:rsid w:val="004103D0"/>
    <w:rsid w:val="004115D0"/>
    <w:rsid w:val="0041380F"/>
    <w:rsid w:val="004306D0"/>
    <w:rsid w:val="00430B7A"/>
    <w:rsid w:val="00434867"/>
    <w:rsid w:val="004507A6"/>
    <w:rsid w:val="00450F07"/>
    <w:rsid w:val="00453CD3"/>
    <w:rsid w:val="00455BC7"/>
    <w:rsid w:val="00460660"/>
    <w:rsid w:val="00460CCB"/>
    <w:rsid w:val="004709E3"/>
    <w:rsid w:val="00477370"/>
    <w:rsid w:val="00486107"/>
    <w:rsid w:val="00491827"/>
    <w:rsid w:val="004926B0"/>
    <w:rsid w:val="00495F3E"/>
    <w:rsid w:val="004A001B"/>
    <w:rsid w:val="004A71E7"/>
    <w:rsid w:val="004A7C69"/>
    <w:rsid w:val="004C4399"/>
    <w:rsid w:val="004C69ED"/>
    <w:rsid w:val="004C787C"/>
    <w:rsid w:val="004D4E79"/>
    <w:rsid w:val="004E4E20"/>
    <w:rsid w:val="004E75CF"/>
    <w:rsid w:val="004E7C44"/>
    <w:rsid w:val="004F4B9B"/>
    <w:rsid w:val="00511AB9"/>
    <w:rsid w:val="0051432D"/>
    <w:rsid w:val="005234AB"/>
    <w:rsid w:val="00523EA7"/>
    <w:rsid w:val="00551D1F"/>
    <w:rsid w:val="00553375"/>
    <w:rsid w:val="00555A71"/>
    <w:rsid w:val="0055795F"/>
    <w:rsid w:val="00563F33"/>
    <w:rsid w:val="005658A6"/>
    <w:rsid w:val="00566E63"/>
    <w:rsid w:val="00566FB9"/>
    <w:rsid w:val="005722BB"/>
    <w:rsid w:val="005736B7"/>
    <w:rsid w:val="00575E5A"/>
    <w:rsid w:val="00576779"/>
    <w:rsid w:val="00596C7E"/>
    <w:rsid w:val="005A460E"/>
    <w:rsid w:val="005A4E60"/>
    <w:rsid w:val="005A64E9"/>
    <w:rsid w:val="005B5EE9"/>
    <w:rsid w:val="005F0223"/>
    <w:rsid w:val="005F7F68"/>
    <w:rsid w:val="0061068E"/>
    <w:rsid w:val="00641CF2"/>
    <w:rsid w:val="00643BB6"/>
    <w:rsid w:val="00643FEB"/>
    <w:rsid w:val="00660AD3"/>
    <w:rsid w:val="0066205E"/>
    <w:rsid w:val="006626EF"/>
    <w:rsid w:val="00666F57"/>
    <w:rsid w:val="00671AD3"/>
    <w:rsid w:val="00677B51"/>
    <w:rsid w:val="006956D6"/>
    <w:rsid w:val="006A5570"/>
    <w:rsid w:val="006A689C"/>
    <w:rsid w:val="006B3D79"/>
    <w:rsid w:val="006B7A84"/>
    <w:rsid w:val="006D50C9"/>
    <w:rsid w:val="006E0578"/>
    <w:rsid w:val="006E314D"/>
    <w:rsid w:val="0070502F"/>
    <w:rsid w:val="00710723"/>
    <w:rsid w:val="00720807"/>
    <w:rsid w:val="00723ED1"/>
    <w:rsid w:val="0073075D"/>
    <w:rsid w:val="00730C1D"/>
    <w:rsid w:val="007345FF"/>
    <w:rsid w:val="0074277D"/>
    <w:rsid w:val="00743525"/>
    <w:rsid w:val="00751255"/>
    <w:rsid w:val="0075490F"/>
    <w:rsid w:val="0075717B"/>
    <w:rsid w:val="00757BA0"/>
    <w:rsid w:val="0076286B"/>
    <w:rsid w:val="00764595"/>
    <w:rsid w:val="00766846"/>
    <w:rsid w:val="00772FCC"/>
    <w:rsid w:val="0077673A"/>
    <w:rsid w:val="007846E1"/>
    <w:rsid w:val="007859B2"/>
    <w:rsid w:val="007A035D"/>
    <w:rsid w:val="007B1E54"/>
    <w:rsid w:val="007B570C"/>
    <w:rsid w:val="007D3825"/>
    <w:rsid w:val="007E4A6E"/>
    <w:rsid w:val="007F39CA"/>
    <w:rsid w:val="007F42C5"/>
    <w:rsid w:val="007F56A7"/>
    <w:rsid w:val="00807DD0"/>
    <w:rsid w:val="00813F11"/>
    <w:rsid w:val="008324B1"/>
    <w:rsid w:val="00834A29"/>
    <w:rsid w:val="008604BB"/>
    <w:rsid w:val="00874436"/>
    <w:rsid w:val="00892ADD"/>
    <w:rsid w:val="00892B15"/>
    <w:rsid w:val="00893411"/>
    <w:rsid w:val="008A3568"/>
    <w:rsid w:val="008D03B9"/>
    <w:rsid w:val="008D64AD"/>
    <w:rsid w:val="008E1948"/>
    <w:rsid w:val="008F18D6"/>
    <w:rsid w:val="008F3A7C"/>
    <w:rsid w:val="008F762A"/>
    <w:rsid w:val="00904780"/>
    <w:rsid w:val="00910EA3"/>
    <w:rsid w:val="009113A8"/>
    <w:rsid w:val="00917D9E"/>
    <w:rsid w:val="00922385"/>
    <w:rsid w:val="009223DF"/>
    <w:rsid w:val="009344EE"/>
    <w:rsid w:val="00936091"/>
    <w:rsid w:val="00940D8A"/>
    <w:rsid w:val="009444E7"/>
    <w:rsid w:val="00954259"/>
    <w:rsid w:val="00956A0E"/>
    <w:rsid w:val="00957E7E"/>
    <w:rsid w:val="00962258"/>
    <w:rsid w:val="009645AF"/>
    <w:rsid w:val="009678B7"/>
    <w:rsid w:val="0098097E"/>
    <w:rsid w:val="00982411"/>
    <w:rsid w:val="00985C93"/>
    <w:rsid w:val="00992D9C"/>
    <w:rsid w:val="00996858"/>
    <w:rsid w:val="00996CB8"/>
    <w:rsid w:val="009A7568"/>
    <w:rsid w:val="009B2E97"/>
    <w:rsid w:val="009B72CC"/>
    <w:rsid w:val="009E07F4"/>
    <w:rsid w:val="009E5957"/>
    <w:rsid w:val="009F0D48"/>
    <w:rsid w:val="009F392E"/>
    <w:rsid w:val="009F41B0"/>
    <w:rsid w:val="009F4518"/>
    <w:rsid w:val="009F7E60"/>
    <w:rsid w:val="00A02658"/>
    <w:rsid w:val="00A219B0"/>
    <w:rsid w:val="00A23A3D"/>
    <w:rsid w:val="00A44328"/>
    <w:rsid w:val="00A4615C"/>
    <w:rsid w:val="00A56763"/>
    <w:rsid w:val="00A6177B"/>
    <w:rsid w:val="00A61B7A"/>
    <w:rsid w:val="00A66136"/>
    <w:rsid w:val="00AA1729"/>
    <w:rsid w:val="00AA4CBB"/>
    <w:rsid w:val="00AA65FA"/>
    <w:rsid w:val="00AA7351"/>
    <w:rsid w:val="00AC1AB2"/>
    <w:rsid w:val="00AD056F"/>
    <w:rsid w:val="00AD6731"/>
    <w:rsid w:val="00AE4D4F"/>
    <w:rsid w:val="00AF08E6"/>
    <w:rsid w:val="00AF42D7"/>
    <w:rsid w:val="00B07326"/>
    <w:rsid w:val="00B15D0D"/>
    <w:rsid w:val="00B45E9E"/>
    <w:rsid w:val="00B5050A"/>
    <w:rsid w:val="00B55F9C"/>
    <w:rsid w:val="00B75EE1"/>
    <w:rsid w:val="00B77481"/>
    <w:rsid w:val="00B8518B"/>
    <w:rsid w:val="00B93918"/>
    <w:rsid w:val="00BA65AC"/>
    <w:rsid w:val="00BB0321"/>
    <w:rsid w:val="00BB3740"/>
    <w:rsid w:val="00BD117D"/>
    <w:rsid w:val="00BD7E91"/>
    <w:rsid w:val="00BE2EFB"/>
    <w:rsid w:val="00BF374D"/>
    <w:rsid w:val="00C02D0A"/>
    <w:rsid w:val="00C03A6E"/>
    <w:rsid w:val="00C050BF"/>
    <w:rsid w:val="00C1191E"/>
    <w:rsid w:val="00C150C4"/>
    <w:rsid w:val="00C30759"/>
    <w:rsid w:val="00C347BF"/>
    <w:rsid w:val="00C41C3D"/>
    <w:rsid w:val="00C44F6A"/>
    <w:rsid w:val="00C50130"/>
    <w:rsid w:val="00C8207D"/>
    <w:rsid w:val="00C8406C"/>
    <w:rsid w:val="00CA45AA"/>
    <w:rsid w:val="00CB0E61"/>
    <w:rsid w:val="00CB283C"/>
    <w:rsid w:val="00CC7513"/>
    <w:rsid w:val="00CD1FC4"/>
    <w:rsid w:val="00CD7BCD"/>
    <w:rsid w:val="00CE1EED"/>
    <w:rsid w:val="00CE371D"/>
    <w:rsid w:val="00D02A4D"/>
    <w:rsid w:val="00D10761"/>
    <w:rsid w:val="00D2070F"/>
    <w:rsid w:val="00D21061"/>
    <w:rsid w:val="00D316A7"/>
    <w:rsid w:val="00D35305"/>
    <w:rsid w:val="00D4014D"/>
    <w:rsid w:val="00D4108E"/>
    <w:rsid w:val="00D50F4B"/>
    <w:rsid w:val="00D6163D"/>
    <w:rsid w:val="00D6757A"/>
    <w:rsid w:val="00D747E8"/>
    <w:rsid w:val="00D831A3"/>
    <w:rsid w:val="00D9699F"/>
    <w:rsid w:val="00DA6F8B"/>
    <w:rsid w:val="00DA6FFE"/>
    <w:rsid w:val="00DB421A"/>
    <w:rsid w:val="00DC2469"/>
    <w:rsid w:val="00DC3110"/>
    <w:rsid w:val="00DC7870"/>
    <w:rsid w:val="00DD46F3"/>
    <w:rsid w:val="00DD58A6"/>
    <w:rsid w:val="00DE56F2"/>
    <w:rsid w:val="00DF116D"/>
    <w:rsid w:val="00DF1213"/>
    <w:rsid w:val="00DF1BFF"/>
    <w:rsid w:val="00E1064E"/>
    <w:rsid w:val="00E11068"/>
    <w:rsid w:val="00E46124"/>
    <w:rsid w:val="00E54B48"/>
    <w:rsid w:val="00E55822"/>
    <w:rsid w:val="00E70131"/>
    <w:rsid w:val="00E824F1"/>
    <w:rsid w:val="00E937D8"/>
    <w:rsid w:val="00EB104F"/>
    <w:rsid w:val="00EB4D19"/>
    <w:rsid w:val="00EB60F2"/>
    <w:rsid w:val="00EC1EE5"/>
    <w:rsid w:val="00EC5812"/>
    <w:rsid w:val="00ED14BD"/>
    <w:rsid w:val="00EE298E"/>
    <w:rsid w:val="00EF1DF1"/>
    <w:rsid w:val="00F01440"/>
    <w:rsid w:val="00F1091D"/>
    <w:rsid w:val="00F12DEC"/>
    <w:rsid w:val="00F16DDD"/>
    <w:rsid w:val="00F1715C"/>
    <w:rsid w:val="00F252CE"/>
    <w:rsid w:val="00F310F8"/>
    <w:rsid w:val="00F35939"/>
    <w:rsid w:val="00F40C71"/>
    <w:rsid w:val="00F45607"/>
    <w:rsid w:val="00F64786"/>
    <w:rsid w:val="00F659EB"/>
    <w:rsid w:val="00F6710F"/>
    <w:rsid w:val="00F83830"/>
    <w:rsid w:val="00F862D6"/>
    <w:rsid w:val="00F86BA6"/>
    <w:rsid w:val="00F92249"/>
    <w:rsid w:val="00F964C9"/>
    <w:rsid w:val="00F96F70"/>
    <w:rsid w:val="00F97E89"/>
    <w:rsid w:val="00FA7957"/>
    <w:rsid w:val="00FC2DFC"/>
    <w:rsid w:val="00FC6389"/>
    <w:rsid w:val="00FD2F51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E242B5"/>
  <w15:docId w15:val="{05D3651D-5D18-4759-B0D4-83610429E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D64AD"/>
    <w:pPr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character" w:customStyle="1" w:styleId="Zkladntext0">
    <w:name w:val="Základní text_"/>
    <w:basedOn w:val="Standardnpsmoodstavce"/>
    <w:link w:val="Zkladntext3"/>
    <w:rsid w:val="00C41C3D"/>
    <w:rPr>
      <w:sz w:val="23"/>
      <w:szCs w:val="23"/>
      <w:shd w:val="clear" w:color="auto" w:fill="FFFFFF"/>
    </w:rPr>
  </w:style>
  <w:style w:type="paragraph" w:customStyle="1" w:styleId="Zkladntext3">
    <w:name w:val="Základní text3"/>
    <w:basedOn w:val="Normln"/>
    <w:link w:val="Zkladntext0"/>
    <w:rsid w:val="00C41C3D"/>
    <w:pPr>
      <w:widowControl w:val="0"/>
      <w:shd w:val="clear" w:color="auto" w:fill="FFFFFF"/>
      <w:spacing w:before="360" w:after="0" w:line="350" w:lineRule="exact"/>
      <w:ind w:hanging="700"/>
      <w:jc w:val="left"/>
    </w:pPr>
    <w:rPr>
      <w:sz w:val="23"/>
      <w:szCs w:val="23"/>
    </w:rPr>
  </w:style>
  <w:style w:type="character" w:styleId="Nevyeenzmnka">
    <w:name w:val="Unresolved Mention"/>
    <w:basedOn w:val="Standardnpsmoodstavce"/>
    <w:uiPriority w:val="99"/>
    <w:semiHidden/>
    <w:unhideWhenUsed/>
    <w:rsid w:val="00566F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77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2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0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6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5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upczyn\Documents\&#352;ablony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C83FD7D-96E8-46F9-BB50-C3D1B70390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papír.dotx</Template>
  <TotalTime>28</TotalTime>
  <Pages>4</Pages>
  <Words>544</Words>
  <Characters>3210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3747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Kupczyn Jiří, Ing., Ph.D.</dc:creator>
  <cp:lastModifiedBy>OVZ</cp:lastModifiedBy>
  <cp:revision>15</cp:revision>
  <cp:lastPrinted>2025-02-06T09:50:00Z</cp:lastPrinted>
  <dcterms:created xsi:type="dcterms:W3CDTF">2025-10-08T08:39:00Z</dcterms:created>
  <dcterms:modified xsi:type="dcterms:W3CDTF">2025-10-31T09:09:00Z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